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493042" w14:textId="0DED7FF8" w:rsidR="00103E45" w:rsidRPr="00D31FC3" w:rsidRDefault="00103E45" w:rsidP="001210DA">
      <w:pPr>
        <w:jc w:val="both"/>
        <w:rPr>
          <w:rFonts w:ascii="Century Gothic" w:hAnsi="Century Gothic"/>
          <w:b/>
          <w:bCs/>
          <w:color w:val="033A44"/>
          <w:sz w:val="28"/>
          <w:szCs w:val="28"/>
        </w:rPr>
      </w:pPr>
      <w:r w:rsidRPr="00D31FC3">
        <w:rPr>
          <w:rFonts w:ascii="Century Gothic" w:hAnsi="Century Gothic"/>
          <w:b/>
          <w:bCs/>
          <w:color w:val="033A44"/>
          <w:sz w:val="28"/>
          <w:szCs w:val="28"/>
        </w:rPr>
        <w:t>Leaf structural traits and allometry of juvenile trees across temperature treatments in an experimental plantation in the Colombian Andes, 2023-2024.</w:t>
      </w:r>
    </w:p>
    <w:p w14:paraId="30C4F245" w14:textId="77777777" w:rsidR="00210627" w:rsidRPr="00493E89" w:rsidRDefault="00210627" w:rsidP="00210627">
      <w:pPr>
        <w:pStyle w:val="Heading1"/>
        <w:jc w:val="both"/>
      </w:pPr>
      <w:r w:rsidRPr="00493E89">
        <w:t>Information about common garden plantations</w:t>
      </w:r>
    </w:p>
    <w:p w14:paraId="5CCD41BF" w14:textId="77777777" w:rsidR="00103E45" w:rsidRPr="001210DA" w:rsidRDefault="00103E45" w:rsidP="001210DA">
      <w:pPr>
        <w:jc w:val="both"/>
        <w:rPr>
          <w:rFonts w:ascii="Century Gothic" w:hAnsi="Century Gothic"/>
        </w:rPr>
      </w:pPr>
    </w:p>
    <w:p w14:paraId="49601A32" w14:textId="77777777" w:rsidR="00103E45" w:rsidRPr="001210DA" w:rsidRDefault="00103E45" w:rsidP="001210DA">
      <w:pPr>
        <w:jc w:val="both"/>
        <w:rPr>
          <w:rFonts w:ascii="Century Gothic" w:hAnsi="Century Gothic"/>
        </w:rPr>
      </w:pPr>
      <w:r w:rsidRPr="001210DA">
        <w:rPr>
          <w:rFonts w:ascii="Century Gothic" w:hAnsi="Century Gothic"/>
        </w:rPr>
        <w:t>This collection of datasets was generated from field measurements conducted in common garden plantations established along an elevational gradient in the Colombian Andes between 2018 and 2019 across three experimental sites. Sites have been named after their mean annual temperatures (MAT) and are characterized as follows: 13.7 °C MAT site (99</w:t>
      </w:r>
      <w:r w:rsidRPr="001210DA">
        <w:rPr>
          <w:rFonts w:ascii="Century Gothic" w:hAnsi="Century Gothic"/>
          <w:vertAlign w:val="superscript"/>
        </w:rPr>
        <w:t>th</w:t>
      </w:r>
      <w:r w:rsidRPr="001210DA">
        <w:rPr>
          <w:rFonts w:ascii="Century Gothic" w:hAnsi="Century Gothic"/>
        </w:rPr>
        <w:t xml:space="preserve"> percentile temperature, T</w:t>
      </w:r>
      <w:r w:rsidRPr="001210DA">
        <w:rPr>
          <w:rFonts w:ascii="Century Gothic" w:hAnsi="Century Gothic"/>
          <w:vertAlign w:val="subscript"/>
        </w:rPr>
        <w:t>99</w:t>
      </w:r>
      <w:r w:rsidRPr="001210DA">
        <w:rPr>
          <w:rFonts w:ascii="Century Gothic" w:hAnsi="Century Gothic"/>
        </w:rPr>
        <w:t>=21°C; annual precipitation=2774 mm; elevation=2452 m.a.s.l., latitude=5.513235 N and longitude=-75.67725 W ), 22.1°C MAT site (T</w:t>
      </w:r>
      <w:r w:rsidRPr="001210DA">
        <w:rPr>
          <w:rFonts w:ascii="Century Gothic" w:hAnsi="Century Gothic"/>
          <w:vertAlign w:val="subscript"/>
        </w:rPr>
        <w:t>99</w:t>
      </w:r>
      <w:r w:rsidRPr="001210DA">
        <w:rPr>
          <w:rFonts w:ascii="Century Gothic" w:hAnsi="Century Gothic"/>
        </w:rPr>
        <w:t>=33°C; annual precipitation=2045 mm; elevation=1326 m.a.s.l., latitude=5.641699 N and longitude=-75.685982 W), and 25.5°C MAT site; T</w:t>
      </w:r>
      <w:r w:rsidRPr="001210DA">
        <w:rPr>
          <w:rFonts w:ascii="Century Gothic" w:hAnsi="Century Gothic"/>
          <w:vertAlign w:val="subscript"/>
        </w:rPr>
        <w:t>99</w:t>
      </w:r>
      <w:r w:rsidRPr="001210DA">
        <w:rPr>
          <w:rFonts w:ascii="Century Gothic" w:hAnsi="Century Gothic"/>
        </w:rPr>
        <w:t>=38°C; annual precipitation=2298 mm; elevation=736 m.a.s.l., latitude=5,844349 N and longitude=-75.71034 W).</w:t>
      </w:r>
    </w:p>
    <w:p w14:paraId="6E88BE9E" w14:textId="77777777" w:rsidR="00103E45" w:rsidRPr="001210DA" w:rsidRDefault="00103E45" w:rsidP="001210DA">
      <w:pPr>
        <w:jc w:val="both"/>
        <w:rPr>
          <w:rFonts w:ascii="Century Gothic" w:hAnsi="Century Gothic"/>
        </w:rPr>
      </w:pPr>
      <w:r w:rsidRPr="001210DA">
        <w:rPr>
          <w:rFonts w:ascii="Century Gothic" w:hAnsi="Century Gothic"/>
        </w:rPr>
        <w:t xml:space="preserve">At each experimental site, 360 juvenile trees (1–2 years old) from 15 dominant Andean species (11 montane and 4 lowland species) were planted. Each plantation was arranged in four 600 m² plots, each containing six 94 m² blocks. Each block included one individual of each of the 15 study species, planted 2.5 m apart. Six individuals per species were planted in each plot, resulting in a total of 24 individuals per species per site. Trees were randomly allocated within blocks and plots. All trees were planted in in common homogenized soil conditions of high elevation origin and were irrigated when no rainfall occurred for two consecutive days. For further details, see </w:t>
      </w:r>
      <w:r w:rsidRPr="001210DA">
        <w:rPr>
          <w:rFonts w:ascii="Century Gothic" w:hAnsi="Century Gothic"/>
        </w:rPr>
        <w:fldChar w:fldCharType="begin" w:fldLock="1"/>
      </w:r>
      <w:r w:rsidRPr="001210DA">
        <w:rPr>
          <w:rFonts w:ascii="Century Gothic" w:hAnsi="Century Gothic"/>
        </w:rPr>
        <w:instrText>ADDIN CSL_CITATION {"citationItems":[{"id":"ITEM-1","itemData":{"DOI":"10.1038/s43247-025-02083-w","ISSN":"2662-4435","author":[{"dropping-particle":"","family":"Restrepo","given":"Zorayda","non-dropping-particle":"","parse-names":false,"suffix":""},{"dropping-particle":"","family":"González-caro","given":"Sebastián","non-dropping-particle":"","parse-names":false,"suffix":""},{"dropping-particle":"","family":"Hartley","given":"Iain P","non-dropping-particle":"","parse-names":false,"suffix":""},{"dropping-particle":"","family":"Villegas","given":"Juan Camilo","non-dropping-particle":"","parse-names":false,"suffix":""},{"dropping-particle":"","family":"Meir","given":"Patrick","non-dropping-particle":"","parse-names":false,"suffix":""},{"dropping-particle":"","family":"Sanchez","given":"Adriana","non-dropping-particle":"","parse-names":false,"suffix":""},{"dropping-particle":"","family":"Carrascal","given":"Daniel Ruiz","non-dropping-particle":"","parse-names":false,"suffix":""},{"dropping-particle":"","family":"Mercado","given":"Lina M","non-dropping-particle":"","parse-names":false,"suffix":""}],"container-title":"Communications Earth &amp; Environment","id":"ITEM-1","issued":{"date-parts":[["2025"]]},"page":"1-11","publisher":"Springer US","title":"Heterogeneous thermal tolerance of dominant Andean montane tree species","type":"article-journal"},"uris":["http://www.mendeley.com/documents/?uuid=666271ca-ad02-490a-bd71-9d4e6efd3cfb"]}],"mendeley":{"formattedCitation":"(Restrepo et al., 2025)","manualFormatting":"Restrepo et al., (2025)","plainTextFormattedCitation":"(Restrepo et al., 2025)","previouslyFormattedCitation":"(Restrepo et al., 2025)"},"properties":{"noteIndex":0},"schema":"https://github.com/citation-style-language/schema/raw/master/csl-citation.json"}</w:instrText>
      </w:r>
      <w:r w:rsidRPr="001210DA">
        <w:rPr>
          <w:rFonts w:ascii="Century Gothic" w:hAnsi="Century Gothic"/>
        </w:rPr>
        <w:fldChar w:fldCharType="separate"/>
      </w:r>
      <w:r w:rsidRPr="001210DA">
        <w:rPr>
          <w:rFonts w:ascii="Century Gothic" w:hAnsi="Century Gothic"/>
          <w:noProof/>
        </w:rPr>
        <w:t>Restrepo et al., (2025)</w:t>
      </w:r>
      <w:r w:rsidRPr="001210DA">
        <w:rPr>
          <w:rFonts w:ascii="Century Gothic" w:hAnsi="Century Gothic"/>
        </w:rPr>
        <w:fldChar w:fldCharType="end"/>
      </w:r>
      <w:r w:rsidRPr="001210DA">
        <w:rPr>
          <w:rFonts w:ascii="Century Gothic" w:hAnsi="Century Gothic"/>
        </w:rPr>
        <w:t>. By October 2023 only 10 and 4 species remained at the 22.1 and 25.5 °C sites, respectively.</w:t>
      </w:r>
    </w:p>
    <w:p w14:paraId="7A39034A" w14:textId="7EE648A9" w:rsidR="00103E45" w:rsidRPr="001210DA" w:rsidRDefault="00103E45" w:rsidP="001210DA">
      <w:pPr>
        <w:jc w:val="both"/>
        <w:rPr>
          <w:rFonts w:ascii="Century Gothic" w:hAnsi="Century Gothic"/>
        </w:rPr>
      </w:pPr>
      <w:r w:rsidRPr="00407916">
        <w:rPr>
          <w:rFonts w:ascii="Century Gothic" w:hAnsi="Century Gothic"/>
          <w:b/>
          <w:bCs/>
          <w:color w:val="033A44"/>
        </w:rPr>
        <w:t>Quality contro</w:t>
      </w:r>
      <w:r w:rsidR="00407916">
        <w:rPr>
          <w:rFonts w:ascii="Century Gothic" w:hAnsi="Century Gothic"/>
          <w:b/>
          <w:bCs/>
          <w:color w:val="033A44"/>
        </w:rPr>
        <w:t xml:space="preserve">l: </w:t>
      </w:r>
      <w:r w:rsidRPr="001210DA">
        <w:rPr>
          <w:rFonts w:ascii="Century Gothic" w:hAnsi="Century Gothic"/>
        </w:rPr>
        <w:t xml:space="preserve">Within each plot at each site, all trees were tagged with a unique identification code. Data were recorded in an Excel file on the same day that the samples were collected. </w:t>
      </w:r>
    </w:p>
    <w:p w14:paraId="6B4E840D" w14:textId="22A2B7E6" w:rsidR="00103E45" w:rsidRPr="001210DA" w:rsidRDefault="00103E45" w:rsidP="00407916">
      <w:pPr>
        <w:jc w:val="both"/>
        <w:rPr>
          <w:rFonts w:ascii="Century Gothic" w:hAnsi="Century Gothic"/>
        </w:rPr>
      </w:pPr>
      <w:r w:rsidRPr="00407916">
        <w:rPr>
          <w:rFonts w:ascii="Century Gothic" w:hAnsi="Century Gothic"/>
          <w:b/>
          <w:bCs/>
          <w:color w:val="033A44"/>
        </w:rPr>
        <w:t>Methods of collection:</w:t>
      </w:r>
      <w:r w:rsidR="00407916">
        <w:rPr>
          <w:rFonts w:ascii="Century Gothic" w:hAnsi="Century Gothic"/>
          <w:b/>
          <w:bCs/>
          <w:color w:val="033A44"/>
        </w:rPr>
        <w:t xml:space="preserve"> </w:t>
      </w:r>
      <w:r w:rsidRPr="001210DA">
        <w:rPr>
          <w:rFonts w:ascii="Century Gothic" w:hAnsi="Century Gothic"/>
        </w:rPr>
        <w:t>During each census, tree diameter, health status, survival, number of branches, number of leaves, and leaf structural traits were recorded. This data set represents an extension of Restrepo and Mercado (2024) by including two additional tree censuses conducted in October 2023 and January 2024 encompassing two measurement campaigns. Table 1 includes methodological detail explaining how each variable was measured.</w:t>
      </w:r>
    </w:p>
    <w:p w14:paraId="5670FFA5" w14:textId="77777777" w:rsidR="00103E45" w:rsidRPr="001210DA" w:rsidRDefault="00103E45" w:rsidP="001210DA">
      <w:pPr>
        <w:jc w:val="both"/>
        <w:rPr>
          <w:rFonts w:ascii="Century Gothic" w:hAnsi="Century Gothic"/>
        </w:rPr>
      </w:pPr>
      <w:r w:rsidRPr="00407916">
        <w:rPr>
          <w:rFonts w:ascii="Century Gothic" w:hAnsi="Century Gothic"/>
          <w:b/>
          <w:bCs/>
          <w:color w:val="033A44"/>
        </w:rPr>
        <w:lastRenderedPageBreak/>
        <w:t xml:space="preserve">Leaf structural traits: </w:t>
      </w:r>
      <w:r w:rsidRPr="001210DA">
        <w:rPr>
          <w:rFonts w:ascii="Century Gothic" w:hAnsi="Century Gothic"/>
        </w:rPr>
        <w:t>For each of the two measurement campaigns,</w:t>
      </w:r>
      <w:r w:rsidRPr="001210DA">
        <w:rPr>
          <w:rFonts w:ascii="Century Gothic" w:hAnsi="Century Gothic"/>
          <w:b/>
          <w:bCs/>
        </w:rPr>
        <w:t xml:space="preserve"> </w:t>
      </w:r>
      <w:r w:rsidRPr="001210DA">
        <w:rPr>
          <w:rFonts w:ascii="Century Gothic" w:hAnsi="Century Gothic"/>
        </w:rPr>
        <w:t>we collected 12 healthy sunlit, fully expanded leaves from individual trees (one leaf per tree) from three of the six blocks of each plot at each site for each species. Directly after collection, images of each leaf were taken using a CanoScan LiDE 300 flatbed scanner and then processed using R (v4.2.1; R Core Team, 2022) to calculate leaf area (cm</w:t>
      </w:r>
      <w:r w:rsidRPr="001210DA">
        <w:rPr>
          <w:rFonts w:ascii="Century Gothic" w:hAnsi="Century Gothic"/>
          <w:vertAlign w:val="superscript"/>
        </w:rPr>
        <w:t>2</w:t>
      </w:r>
      <w:r w:rsidRPr="001210DA">
        <w:rPr>
          <w:rFonts w:ascii="Century Gothic" w:hAnsi="Century Gothic"/>
        </w:rPr>
        <w:t>). Leaf area was calculated using the ‘LeafArea’ package in R (Katabuchi, 2015), which automates the ImageJ programme (ImageJ, v.1.52a; National Institutes of Health [NIH]).   Following leaf area calculation, leaves were weighed to give their wet weight before being dried in an oven to constant mass for approximately 48 h at 70°C, then re</w:t>
      </w:r>
      <w:r w:rsidRPr="001210DA">
        <w:rPr>
          <w:rFonts w:ascii="Cambria Math" w:hAnsi="Cambria Math" w:cs="Cambria Math"/>
        </w:rPr>
        <w:t>‐</w:t>
      </w:r>
      <w:r w:rsidRPr="001210DA">
        <w:rPr>
          <w:rFonts w:ascii="Century Gothic" w:hAnsi="Century Gothic"/>
        </w:rPr>
        <w:t>weighed to give their dry weight. Leaf mass per area (LMA (g m</w:t>
      </w:r>
      <w:r w:rsidRPr="001210DA">
        <w:rPr>
          <w:rFonts w:ascii="Century Gothic" w:hAnsi="Century Gothic"/>
          <w:vertAlign w:val="superscript"/>
        </w:rPr>
        <w:t>−2</w:t>
      </w:r>
      <w:r w:rsidRPr="001210DA">
        <w:rPr>
          <w:rFonts w:ascii="Century Gothic" w:hAnsi="Century Gothic"/>
        </w:rPr>
        <w:t>)) was calculated by dividing dry weight by Leaf area. Finally, high</w:t>
      </w:r>
      <w:r w:rsidRPr="001210DA">
        <w:rPr>
          <w:rFonts w:ascii="Cambria Math" w:hAnsi="Cambria Math" w:cs="Cambria Math"/>
        </w:rPr>
        <w:t>‐</w:t>
      </w:r>
      <w:r w:rsidRPr="001210DA">
        <w:rPr>
          <w:rFonts w:ascii="Century Gothic" w:hAnsi="Century Gothic"/>
        </w:rPr>
        <w:t xml:space="preserve">precision electronic callipers (AK9622EV; Sealey Group) were then used to measure thickness from four spots on each leaf, avoiding the central vein, with the average of these four measurements taken to be leaf thickness (mm). </w:t>
      </w:r>
    </w:p>
    <w:p w14:paraId="1BC8D85A" w14:textId="77777777" w:rsidR="00103E45" w:rsidRPr="001210DA" w:rsidRDefault="00103E45" w:rsidP="001210DA">
      <w:pPr>
        <w:jc w:val="both"/>
        <w:rPr>
          <w:rFonts w:ascii="Century Gothic" w:hAnsi="Century Gothic"/>
        </w:rPr>
      </w:pPr>
      <w:r w:rsidRPr="001210DA">
        <w:rPr>
          <w:rFonts w:ascii="Century Gothic" w:hAnsi="Century Gothic"/>
        </w:rPr>
        <w:t>Table 2 and Table 2 provides detailed information on the methods used to collect each leaf trait.</w:t>
      </w:r>
    </w:p>
    <w:p w14:paraId="0320AD58" w14:textId="77777777" w:rsidR="00103E45" w:rsidRPr="001210DA" w:rsidRDefault="00103E45" w:rsidP="001210DA">
      <w:pPr>
        <w:spacing w:before="240"/>
        <w:jc w:val="both"/>
        <w:rPr>
          <w:rFonts w:ascii="Century Gothic" w:hAnsi="Century Gothic"/>
        </w:rPr>
      </w:pPr>
    </w:p>
    <w:p w14:paraId="17A6C8BC" w14:textId="77777777" w:rsidR="00103E45" w:rsidRPr="001210DA" w:rsidRDefault="00103E45" w:rsidP="001210DA">
      <w:pPr>
        <w:jc w:val="both"/>
        <w:rPr>
          <w:rFonts w:ascii="Century Gothic" w:hAnsi="Century Gothic"/>
        </w:rPr>
      </w:pPr>
      <w:r w:rsidRPr="001210DA">
        <w:rPr>
          <w:rFonts w:ascii="Century Gothic" w:hAnsi="Century Gothic"/>
        </w:rPr>
        <w:br w:type="page"/>
      </w:r>
    </w:p>
    <w:p w14:paraId="746F9DE0" w14:textId="3EFC20A2" w:rsidR="00103E45" w:rsidRPr="00407916" w:rsidRDefault="00103E45" w:rsidP="008B591E">
      <w:pPr>
        <w:rPr>
          <w:rFonts w:ascii="Century Gothic" w:hAnsi="Century Gothic"/>
          <w:sz w:val="20"/>
          <w:szCs w:val="20"/>
        </w:rPr>
      </w:pPr>
      <w:r w:rsidRPr="00055195">
        <w:rPr>
          <w:rFonts w:ascii="Century Gothic" w:hAnsi="Century Gothic"/>
          <w:b/>
          <w:bCs/>
          <w:color w:val="033A44"/>
          <w:sz w:val="20"/>
          <w:szCs w:val="20"/>
        </w:rPr>
        <w:lastRenderedPageBreak/>
        <w:t>Table 1</w:t>
      </w:r>
      <w:r w:rsidR="00037F7F">
        <w:rPr>
          <w:rFonts w:ascii="Century Gothic" w:hAnsi="Century Gothic"/>
          <w:b/>
          <w:bCs/>
          <w:color w:val="033A44"/>
          <w:sz w:val="20"/>
          <w:szCs w:val="20"/>
        </w:rPr>
        <w:t>.</w:t>
      </w:r>
      <w:r w:rsidRPr="00407916">
        <w:rPr>
          <w:rFonts w:ascii="Century Gothic" w:hAnsi="Century Gothic"/>
          <w:sz w:val="20"/>
          <w:szCs w:val="20"/>
        </w:rPr>
        <w:t xml:space="preserve"> </w:t>
      </w:r>
      <w:r w:rsidR="008B591E" w:rsidRPr="00BB694A">
        <w:rPr>
          <w:rFonts w:ascii="Century Gothic" w:hAnsi="Century Gothic"/>
          <w:sz w:val="20"/>
          <w:szCs w:val="20"/>
        </w:rPr>
        <w:t xml:space="preserve">Description of variables for file </w:t>
      </w:r>
      <w:r w:rsidR="008B591E">
        <w:rPr>
          <w:rFonts w:ascii="Century Gothic" w:hAnsi="Century Gothic"/>
          <w:sz w:val="20"/>
          <w:szCs w:val="20"/>
        </w:rPr>
        <w:t>“</w:t>
      </w:r>
      <w:r w:rsidR="008B591E" w:rsidRPr="008B591E">
        <w:rPr>
          <w:rFonts w:ascii="Century Gothic" w:hAnsi="Century Gothic"/>
          <w:sz w:val="20"/>
          <w:szCs w:val="20"/>
        </w:rPr>
        <w:t>Dataset_tree_allometry_from_common_gardens_in_the_Colombian_Andes_2023-2024</w:t>
      </w:r>
      <w:r w:rsidR="008B591E">
        <w:rPr>
          <w:rFonts w:ascii="Century Gothic" w:hAnsi="Century Gothic"/>
          <w:sz w:val="20"/>
          <w:szCs w:val="20"/>
        </w:rPr>
        <w:t>.csv”</w:t>
      </w:r>
    </w:p>
    <w:tbl>
      <w:tblPr>
        <w:tblW w:w="0" w:type="auto"/>
        <w:tblLayout w:type="fixed"/>
        <w:tblCellMar>
          <w:left w:w="70" w:type="dxa"/>
          <w:right w:w="70" w:type="dxa"/>
        </w:tblCellMar>
        <w:tblLook w:val="04A0" w:firstRow="1" w:lastRow="0" w:firstColumn="1" w:lastColumn="0" w:noHBand="0" w:noVBand="1"/>
      </w:tblPr>
      <w:tblGrid>
        <w:gridCol w:w="1555"/>
        <w:gridCol w:w="3118"/>
        <w:gridCol w:w="1134"/>
        <w:gridCol w:w="3021"/>
      </w:tblGrid>
      <w:tr w:rsidR="00103E45" w:rsidRPr="00407916" w14:paraId="6DE5D907" w14:textId="77777777" w:rsidTr="00E043D8">
        <w:trPr>
          <w:trHeight w:val="606"/>
          <w:tblHeader/>
        </w:trPr>
        <w:tc>
          <w:tcPr>
            <w:tcW w:w="1555" w:type="dxa"/>
            <w:tcBorders>
              <w:top w:val="single" w:sz="4" w:space="0" w:color="auto"/>
              <w:left w:val="single" w:sz="4" w:space="0" w:color="auto"/>
              <w:bottom w:val="single" w:sz="4" w:space="0" w:color="auto"/>
              <w:right w:val="single" w:sz="4" w:space="0" w:color="auto"/>
            </w:tcBorders>
            <w:vAlign w:val="center"/>
            <w:hideMark/>
          </w:tcPr>
          <w:p w14:paraId="79089973"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Variable</w:t>
            </w:r>
          </w:p>
        </w:tc>
        <w:tc>
          <w:tcPr>
            <w:tcW w:w="3118" w:type="dxa"/>
            <w:tcBorders>
              <w:top w:val="single" w:sz="4" w:space="0" w:color="auto"/>
              <w:left w:val="nil"/>
              <w:bottom w:val="single" w:sz="4" w:space="0" w:color="auto"/>
              <w:right w:val="single" w:sz="4" w:space="0" w:color="auto"/>
            </w:tcBorders>
            <w:vAlign w:val="center"/>
            <w:hideMark/>
          </w:tcPr>
          <w:p w14:paraId="59F3D360"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Definition</w:t>
            </w:r>
          </w:p>
        </w:tc>
        <w:tc>
          <w:tcPr>
            <w:tcW w:w="1134" w:type="dxa"/>
            <w:tcBorders>
              <w:top w:val="single" w:sz="4" w:space="0" w:color="auto"/>
              <w:left w:val="nil"/>
              <w:bottom w:val="single" w:sz="4" w:space="0" w:color="auto"/>
              <w:right w:val="single" w:sz="4" w:space="0" w:color="auto"/>
            </w:tcBorders>
            <w:vAlign w:val="center"/>
            <w:hideMark/>
          </w:tcPr>
          <w:p w14:paraId="7A00FACA"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Unit</w:t>
            </w:r>
          </w:p>
        </w:tc>
        <w:tc>
          <w:tcPr>
            <w:tcW w:w="3021" w:type="dxa"/>
            <w:tcBorders>
              <w:top w:val="single" w:sz="4" w:space="0" w:color="auto"/>
              <w:left w:val="nil"/>
              <w:bottom w:val="single" w:sz="4" w:space="0" w:color="auto"/>
              <w:right w:val="single" w:sz="4" w:space="0" w:color="auto"/>
            </w:tcBorders>
            <w:vAlign w:val="center"/>
            <w:hideMark/>
          </w:tcPr>
          <w:p w14:paraId="12A20D53"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Logical Range</w:t>
            </w:r>
          </w:p>
        </w:tc>
      </w:tr>
      <w:tr w:rsidR="00103E45" w:rsidRPr="00407916" w14:paraId="330986F4" w14:textId="77777777" w:rsidTr="00E043D8">
        <w:trPr>
          <w:trHeight w:val="1550"/>
        </w:trPr>
        <w:tc>
          <w:tcPr>
            <w:tcW w:w="1555" w:type="dxa"/>
            <w:tcBorders>
              <w:top w:val="nil"/>
              <w:left w:val="single" w:sz="4" w:space="0" w:color="auto"/>
              <w:bottom w:val="single" w:sz="4" w:space="0" w:color="auto"/>
              <w:right w:val="single" w:sz="4" w:space="0" w:color="auto"/>
            </w:tcBorders>
            <w:vAlign w:val="center"/>
            <w:hideMark/>
          </w:tcPr>
          <w:p w14:paraId="25C3E45F"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Longitude and latitude</w:t>
            </w:r>
          </w:p>
        </w:tc>
        <w:tc>
          <w:tcPr>
            <w:tcW w:w="3118" w:type="dxa"/>
            <w:tcBorders>
              <w:top w:val="nil"/>
              <w:left w:val="nil"/>
              <w:bottom w:val="single" w:sz="4" w:space="0" w:color="auto"/>
              <w:right w:val="single" w:sz="4" w:space="0" w:color="auto"/>
            </w:tcBorders>
            <w:vAlign w:val="center"/>
            <w:hideMark/>
          </w:tcPr>
          <w:p w14:paraId="671CC9AE"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Geographic coordinates that define a two-point position on Earth using the WGS84 reference ellipsoid.</w:t>
            </w:r>
          </w:p>
        </w:tc>
        <w:tc>
          <w:tcPr>
            <w:tcW w:w="1134" w:type="dxa"/>
            <w:tcBorders>
              <w:top w:val="nil"/>
              <w:left w:val="nil"/>
              <w:bottom w:val="single" w:sz="4" w:space="0" w:color="auto"/>
              <w:right w:val="single" w:sz="4" w:space="0" w:color="auto"/>
            </w:tcBorders>
            <w:vAlign w:val="center"/>
            <w:hideMark/>
          </w:tcPr>
          <w:p w14:paraId="567208C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decimal degrees</w:t>
            </w:r>
          </w:p>
        </w:tc>
        <w:tc>
          <w:tcPr>
            <w:tcW w:w="3021" w:type="dxa"/>
            <w:tcBorders>
              <w:top w:val="nil"/>
              <w:left w:val="nil"/>
              <w:bottom w:val="single" w:sz="4" w:space="0" w:color="auto"/>
              <w:right w:val="single" w:sz="4" w:space="0" w:color="auto"/>
            </w:tcBorders>
            <w:vAlign w:val="center"/>
            <w:hideMark/>
          </w:tcPr>
          <w:p w14:paraId="6FC6A73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 xml:space="preserve">S1. (-75.67725N; 5.513235W)                                                                                                                                S2. (-75.685982N; 5.641699W)                               S3. (3. (.71034N; 5,844349W)                                                             </w:t>
            </w:r>
          </w:p>
        </w:tc>
      </w:tr>
      <w:tr w:rsidR="00103E45" w:rsidRPr="00407916" w14:paraId="0E08B72D" w14:textId="77777777" w:rsidTr="00E043D8">
        <w:trPr>
          <w:trHeight w:val="1118"/>
        </w:trPr>
        <w:tc>
          <w:tcPr>
            <w:tcW w:w="1555" w:type="dxa"/>
            <w:tcBorders>
              <w:top w:val="nil"/>
              <w:left w:val="single" w:sz="4" w:space="0" w:color="auto"/>
              <w:bottom w:val="single" w:sz="4" w:space="0" w:color="auto"/>
              <w:right w:val="single" w:sz="4" w:space="0" w:color="auto"/>
            </w:tcBorders>
            <w:vAlign w:val="center"/>
            <w:hideMark/>
          </w:tcPr>
          <w:p w14:paraId="0F8B0B4C"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Elevation</w:t>
            </w:r>
          </w:p>
        </w:tc>
        <w:tc>
          <w:tcPr>
            <w:tcW w:w="3118" w:type="dxa"/>
            <w:tcBorders>
              <w:top w:val="nil"/>
              <w:left w:val="nil"/>
              <w:bottom w:val="single" w:sz="4" w:space="0" w:color="auto"/>
              <w:right w:val="single" w:sz="4" w:space="0" w:color="auto"/>
            </w:tcBorders>
            <w:shd w:val="clear" w:color="FF0000" w:fill="FFFFFF"/>
            <w:vAlign w:val="center"/>
            <w:hideMark/>
          </w:tcPr>
          <w:p w14:paraId="643D0F1D"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Times New Roman"/>
                <w:color w:val="000000"/>
                <w:sz w:val="20"/>
                <w:szCs w:val="20"/>
              </w:rPr>
              <w:t>The vertical distance of a location above mean sea level.</w:t>
            </w:r>
          </w:p>
        </w:tc>
        <w:tc>
          <w:tcPr>
            <w:tcW w:w="1134" w:type="dxa"/>
            <w:tcBorders>
              <w:top w:val="nil"/>
              <w:left w:val="nil"/>
              <w:bottom w:val="single" w:sz="4" w:space="0" w:color="auto"/>
              <w:right w:val="single" w:sz="4" w:space="0" w:color="auto"/>
            </w:tcBorders>
            <w:vAlign w:val="center"/>
            <w:hideMark/>
          </w:tcPr>
          <w:p w14:paraId="1579C7B2"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meters at the sea level</w:t>
            </w:r>
          </w:p>
        </w:tc>
        <w:tc>
          <w:tcPr>
            <w:tcW w:w="3021" w:type="dxa"/>
            <w:tcBorders>
              <w:top w:val="nil"/>
              <w:left w:val="nil"/>
              <w:bottom w:val="single" w:sz="4" w:space="0" w:color="auto"/>
              <w:right w:val="single" w:sz="4" w:space="0" w:color="auto"/>
            </w:tcBorders>
            <w:vAlign w:val="center"/>
            <w:hideMark/>
          </w:tcPr>
          <w:p w14:paraId="7BEEAA50"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S1) 2516; S2) 1357; and S3) 736</w:t>
            </w:r>
          </w:p>
        </w:tc>
      </w:tr>
      <w:tr w:rsidR="00103E45" w:rsidRPr="00407916" w14:paraId="642C6836" w14:textId="77777777" w:rsidTr="00E043D8">
        <w:trPr>
          <w:trHeight w:val="1276"/>
        </w:trPr>
        <w:tc>
          <w:tcPr>
            <w:tcW w:w="1555" w:type="dxa"/>
            <w:tcBorders>
              <w:top w:val="nil"/>
              <w:left w:val="single" w:sz="4" w:space="0" w:color="auto"/>
              <w:bottom w:val="single" w:sz="4" w:space="0" w:color="auto"/>
              <w:right w:val="single" w:sz="4" w:space="0" w:color="auto"/>
            </w:tcBorders>
            <w:vAlign w:val="center"/>
            <w:hideMark/>
          </w:tcPr>
          <w:p w14:paraId="7F67F36A"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Site temperature</w:t>
            </w:r>
          </w:p>
        </w:tc>
        <w:tc>
          <w:tcPr>
            <w:tcW w:w="3118" w:type="dxa"/>
            <w:tcBorders>
              <w:top w:val="nil"/>
              <w:left w:val="nil"/>
              <w:bottom w:val="single" w:sz="4" w:space="0" w:color="auto"/>
              <w:right w:val="single" w:sz="4" w:space="0" w:color="auto"/>
            </w:tcBorders>
            <w:vAlign w:val="center"/>
            <w:hideMark/>
          </w:tcPr>
          <w:p w14:paraId="51F220F1"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Mean annual temperature at experimental sites where trees were planted.</w:t>
            </w:r>
          </w:p>
        </w:tc>
        <w:tc>
          <w:tcPr>
            <w:tcW w:w="1134" w:type="dxa"/>
            <w:tcBorders>
              <w:top w:val="nil"/>
              <w:left w:val="nil"/>
              <w:bottom w:val="single" w:sz="4" w:space="0" w:color="auto"/>
              <w:right w:val="single" w:sz="4" w:space="0" w:color="auto"/>
            </w:tcBorders>
            <w:vAlign w:val="center"/>
            <w:hideMark/>
          </w:tcPr>
          <w:p w14:paraId="50E6AC12"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degree Celsius</w:t>
            </w:r>
          </w:p>
        </w:tc>
        <w:tc>
          <w:tcPr>
            <w:tcW w:w="3021" w:type="dxa"/>
            <w:tcBorders>
              <w:top w:val="nil"/>
              <w:left w:val="nil"/>
              <w:bottom w:val="single" w:sz="4" w:space="0" w:color="auto"/>
              <w:right w:val="single" w:sz="4" w:space="0" w:color="auto"/>
            </w:tcBorders>
            <w:vAlign w:val="center"/>
            <w:hideMark/>
          </w:tcPr>
          <w:p w14:paraId="3C64054E"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S1)13,7; S2) 22,1 and S3) 25,5</w:t>
            </w:r>
          </w:p>
        </w:tc>
      </w:tr>
      <w:tr w:rsidR="00103E45" w:rsidRPr="00055195" w14:paraId="4878E376" w14:textId="77777777" w:rsidTr="00E043D8">
        <w:trPr>
          <w:trHeight w:val="2812"/>
        </w:trPr>
        <w:tc>
          <w:tcPr>
            <w:tcW w:w="1555" w:type="dxa"/>
            <w:tcBorders>
              <w:top w:val="nil"/>
              <w:left w:val="single" w:sz="4" w:space="0" w:color="auto"/>
              <w:bottom w:val="single" w:sz="4" w:space="0" w:color="auto"/>
              <w:right w:val="single" w:sz="4" w:space="0" w:color="auto"/>
            </w:tcBorders>
            <w:vAlign w:val="center"/>
            <w:hideMark/>
          </w:tcPr>
          <w:p w14:paraId="16A6C88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Species</w:t>
            </w:r>
          </w:p>
        </w:tc>
        <w:tc>
          <w:tcPr>
            <w:tcW w:w="3118" w:type="dxa"/>
            <w:tcBorders>
              <w:top w:val="nil"/>
              <w:left w:val="nil"/>
              <w:bottom w:val="single" w:sz="4" w:space="0" w:color="auto"/>
              <w:right w:val="single" w:sz="4" w:space="0" w:color="auto"/>
            </w:tcBorders>
            <w:vAlign w:val="center"/>
            <w:hideMark/>
          </w:tcPr>
          <w:p w14:paraId="1767552F"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Fifteen dominant tree species from the Colombian Andes</w:t>
            </w:r>
          </w:p>
        </w:tc>
        <w:tc>
          <w:tcPr>
            <w:tcW w:w="1134" w:type="dxa"/>
            <w:tcBorders>
              <w:top w:val="nil"/>
              <w:left w:val="nil"/>
              <w:bottom w:val="single" w:sz="4" w:space="0" w:color="auto"/>
              <w:right w:val="single" w:sz="4" w:space="0" w:color="auto"/>
            </w:tcBorders>
            <w:vAlign w:val="center"/>
            <w:hideMark/>
          </w:tcPr>
          <w:p w14:paraId="723BAEC2"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76AC3BA3" w14:textId="77777777" w:rsidR="00103E45" w:rsidRPr="00407916" w:rsidRDefault="00103E45" w:rsidP="001210DA">
            <w:pPr>
              <w:spacing w:line="240" w:lineRule="auto"/>
              <w:jc w:val="both"/>
              <w:rPr>
                <w:rFonts w:ascii="Century Gothic" w:eastAsia="Times New Roman" w:hAnsi="Century Gothic" w:cs="Arial"/>
                <w:i/>
                <w:iCs/>
                <w:color w:val="000000"/>
                <w:sz w:val="20"/>
                <w:szCs w:val="20"/>
                <w:lang w:val="es-CO"/>
              </w:rPr>
            </w:pPr>
            <w:r w:rsidRPr="00407916">
              <w:rPr>
                <w:rFonts w:ascii="Century Gothic" w:eastAsia="Times New Roman" w:hAnsi="Century Gothic" w:cs="Arial"/>
                <w:i/>
                <w:iCs/>
                <w:color w:val="000000"/>
                <w:sz w:val="20"/>
                <w:szCs w:val="20"/>
                <w:lang w:val="es-CO"/>
              </w:rPr>
              <w:t>Andesanthus lepidotus, Chrysochlamys colombiana, Clethra fagifolia, Clusia ducu, Clusia multiflora, Guatteria lehmannii, Hieronyma antioquensis, Ilex laurina, Inga densiflora, Inga ingoides, Inga marginata, Inga spectabilis, Miconia theizans, Quercus humboldtii and Weinmannia pubescens</w:t>
            </w:r>
          </w:p>
        </w:tc>
      </w:tr>
      <w:tr w:rsidR="00103E45" w:rsidRPr="00407916" w14:paraId="4F060F03" w14:textId="77777777" w:rsidTr="00E043D8">
        <w:trPr>
          <w:trHeight w:val="711"/>
        </w:trPr>
        <w:tc>
          <w:tcPr>
            <w:tcW w:w="1555" w:type="dxa"/>
            <w:tcBorders>
              <w:top w:val="nil"/>
              <w:left w:val="single" w:sz="4" w:space="0" w:color="auto"/>
              <w:bottom w:val="single" w:sz="4" w:space="0" w:color="auto"/>
              <w:right w:val="single" w:sz="4" w:space="0" w:color="auto"/>
            </w:tcBorders>
            <w:vAlign w:val="center"/>
            <w:hideMark/>
          </w:tcPr>
          <w:p w14:paraId="60BAFA76"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Code</w:t>
            </w:r>
          </w:p>
        </w:tc>
        <w:tc>
          <w:tcPr>
            <w:tcW w:w="3118" w:type="dxa"/>
            <w:tcBorders>
              <w:top w:val="nil"/>
              <w:left w:val="nil"/>
              <w:bottom w:val="single" w:sz="4" w:space="0" w:color="auto"/>
              <w:right w:val="single" w:sz="4" w:space="0" w:color="auto"/>
            </w:tcBorders>
            <w:vAlign w:val="center"/>
            <w:hideMark/>
          </w:tcPr>
          <w:p w14:paraId="00275D7C"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An alphanumeric code to identify each tree.  Includes Site, Plot, Block and tree ID. </w:t>
            </w:r>
          </w:p>
        </w:tc>
        <w:tc>
          <w:tcPr>
            <w:tcW w:w="1134" w:type="dxa"/>
            <w:tcBorders>
              <w:top w:val="nil"/>
              <w:left w:val="nil"/>
              <w:bottom w:val="single" w:sz="4" w:space="0" w:color="auto"/>
              <w:right w:val="single" w:sz="4" w:space="0" w:color="auto"/>
            </w:tcBorders>
            <w:vAlign w:val="center"/>
            <w:hideMark/>
          </w:tcPr>
          <w:p w14:paraId="0139FEA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28EAB3F2"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3 sites (S1, S2, and S3), 4 plots, 6 blocks, and a numeric tree ID. </w:t>
            </w:r>
          </w:p>
        </w:tc>
      </w:tr>
      <w:tr w:rsidR="00103E45" w:rsidRPr="00407916" w14:paraId="4CD3D5F3" w14:textId="77777777" w:rsidTr="00E043D8">
        <w:trPr>
          <w:trHeight w:val="2207"/>
        </w:trPr>
        <w:tc>
          <w:tcPr>
            <w:tcW w:w="1555" w:type="dxa"/>
            <w:tcBorders>
              <w:top w:val="nil"/>
              <w:left w:val="single" w:sz="4" w:space="0" w:color="auto"/>
              <w:bottom w:val="single" w:sz="4" w:space="0" w:color="auto"/>
              <w:right w:val="single" w:sz="4" w:space="0" w:color="auto"/>
            </w:tcBorders>
            <w:vAlign w:val="center"/>
            <w:hideMark/>
          </w:tcPr>
          <w:p w14:paraId="367AB8D0"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Date_census number</w:t>
            </w:r>
          </w:p>
        </w:tc>
        <w:tc>
          <w:tcPr>
            <w:tcW w:w="3118" w:type="dxa"/>
            <w:tcBorders>
              <w:top w:val="nil"/>
              <w:left w:val="nil"/>
              <w:bottom w:val="single" w:sz="4" w:space="0" w:color="auto"/>
              <w:right w:val="single" w:sz="4" w:space="0" w:color="auto"/>
            </w:tcBorders>
            <w:vAlign w:val="center"/>
            <w:hideMark/>
          </w:tcPr>
          <w:p w14:paraId="1D10CB6C"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Census date</w:t>
            </w:r>
          </w:p>
        </w:tc>
        <w:tc>
          <w:tcPr>
            <w:tcW w:w="1134" w:type="dxa"/>
            <w:tcBorders>
              <w:top w:val="nil"/>
              <w:left w:val="nil"/>
              <w:bottom w:val="single" w:sz="4" w:space="0" w:color="auto"/>
              <w:right w:val="single" w:sz="4" w:space="0" w:color="auto"/>
            </w:tcBorders>
            <w:vAlign w:val="center"/>
            <w:hideMark/>
          </w:tcPr>
          <w:p w14:paraId="2858A92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6C5D27FC"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Day/month/year</w:t>
            </w:r>
          </w:p>
        </w:tc>
      </w:tr>
      <w:tr w:rsidR="00103E45" w:rsidRPr="00407916" w14:paraId="394ED00A" w14:textId="77777777" w:rsidTr="00E043D8">
        <w:trPr>
          <w:trHeight w:val="2207"/>
        </w:trPr>
        <w:tc>
          <w:tcPr>
            <w:tcW w:w="1555" w:type="dxa"/>
            <w:tcBorders>
              <w:top w:val="nil"/>
              <w:left w:val="single" w:sz="4" w:space="0" w:color="auto"/>
              <w:bottom w:val="single" w:sz="4" w:space="0" w:color="auto"/>
              <w:right w:val="single" w:sz="4" w:space="0" w:color="auto"/>
            </w:tcBorders>
            <w:vAlign w:val="center"/>
            <w:hideMark/>
          </w:tcPr>
          <w:p w14:paraId="75C3983A"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lastRenderedPageBreak/>
              <w:t>Diameter_census_number</w:t>
            </w:r>
          </w:p>
        </w:tc>
        <w:tc>
          <w:tcPr>
            <w:tcW w:w="3118" w:type="dxa"/>
            <w:tcBorders>
              <w:top w:val="nil"/>
              <w:left w:val="nil"/>
              <w:bottom w:val="single" w:sz="4" w:space="0" w:color="auto"/>
              <w:right w:val="single" w:sz="4" w:space="0" w:color="auto"/>
            </w:tcBorders>
            <w:vAlign w:val="center"/>
            <w:hideMark/>
          </w:tcPr>
          <w:p w14:paraId="6BB3D7D0"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Tree diameter measured at</w:t>
            </w:r>
          </w:p>
          <w:p w14:paraId="6D6B3262"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two centimetres above the base of the stem: this position was labelled during the first inventory,and it is a permanent mark. Measurements were collected with a 150mm Digital Calliper for trees with a diameter less than 100mm.  Trees with larger diameters were measured with a Logger’s diameter ProTape SKU: 39375 </w:t>
            </w:r>
          </w:p>
        </w:tc>
        <w:tc>
          <w:tcPr>
            <w:tcW w:w="1134" w:type="dxa"/>
            <w:tcBorders>
              <w:top w:val="nil"/>
              <w:left w:val="nil"/>
              <w:bottom w:val="single" w:sz="4" w:space="0" w:color="auto"/>
              <w:right w:val="single" w:sz="4" w:space="0" w:color="auto"/>
            </w:tcBorders>
            <w:vAlign w:val="center"/>
            <w:hideMark/>
          </w:tcPr>
          <w:p w14:paraId="4478C220"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millimeters (mm)</w:t>
            </w:r>
          </w:p>
        </w:tc>
        <w:tc>
          <w:tcPr>
            <w:tcW w:w="3021" w:type="dxa"/>
            <w:tcBorders>
              <w:top w:val="nil"/>
              <w:left w:val="nil"/>
              <w:bottom w:val="single" w:sz="4" w:space="0" w:color="auto"/>
              <w:right w:val="single" w:sz="4" w:space="0" w:color="auto"/>
            </w:tcBorders>
            <w:vAlign w:val="center"/>
            <w:hideMark/>
          </w:tcPr>
          <w:p w14:paraId="67BC2E73"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407916" w14:paraId="7BCEC9A0" w14:textId="77777777" w:rsidTr="00E043D8">
        <w:trPr>
          <w:trHeight w:val="641"/>
        </w:trPr>
        <w:tc>
          <w:tcPr>
            <w:tcW w:w="1555" w:type="dxa"/>
            <w:tcBorders>
              <w:top w:val="nil"/>
              <w:left w:val="single" w:sz="4" w:space="0" w:color="auto"/>
              <w:bottom w:val="single" w:sz="4" w:space="0" w:color="auto"/>
              <w:right w:val="single" w:sz="4" w:space="0" w:color="auto"/>
            </w:tcBorders>
            <w:vAlign w:val="center"/>
            <w:hideMark/>
          </w:tcPr>
          <w:p w14:paraId="1F8FD67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Number_of_branches2023</w:t>
            </w:r>
          </w:p>
        </w:tc>
        <w:tc>
          <w:tcPr>
            <w:tcW w:w="3118" w:type="dxa"/>
            <w:tcBorders>
              <w:top w:val="nil"/>
              <w:left w:val="nil"/>
              <w:bottom w:val="single" w:sz="4" w:space="0" w:color="auto"/>
              <w:right w:val="single" w:sz="4" w:space="0" w:color="auto"/>
            </w:tcBorders>
            <w:vAlign w:val="center"/>
            <w:hideMark/>
          </w:tcPr>
          <w:p w14:paraId="6C22797A"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Branch count per tree</w:t>
            </w:r>
          </w:p>
        </w:tc>
        <w:tc>
          <w:tcPr>
            <w:tcW w:w="1134" w:type="dxa"/>
            <w:tcBorders>
              <w:top w:val="nil"/>
              <w:left w:val="nil"/>
              <w:bottom w:val="single" w:sz="4" w:space="0" w:color="auto"/>
              <w:right w:val="single" w:sz="4" w:space="0" w:color="auto"/>
            </w:tcBorders>
            <w:vAlign w:val="center"/>
            <w:hideMark/>
          </w:tcPr>
          <w:p w14:paraId="019B21A7"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3766BF89"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407916" w14:paraId="01AF6419" w14:textId="77777777" w:rsidTr="00E043D8">
        <w:trPr>
          <w:trHeight w:val="537"/>
        </w:trPr>
        <w:tc>
          <w:tcPr>
            <w:tcW w:w="1555" w:type="dxa"/>
            <w:tcBorders>
              <w:top w:val="nil"/>
              <w:left w:val="single" w:sz="4" w:space="0" w:color="auto"/>
              <w:bottom w:val="single" w:sz="4" w:space="0" w:color="auto"/>
              <w:right w:val="single" w:sz="4" w:space="0" w:color="auto"/>
            </w:tcBorders>
            <w:vAlign w:val="center"/>
            <w:hideMark/>
          </w:tcPr>
          <w:p w14:paraId="471A092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Total_leaf_number</w:t>
            </w:r>
          </w:p>
        </w:tc>
        <w:tc>
          <w:tcPr>
            <w:tcW w:w="3118" w:type="dxa"/>
            <w:tcBorders>
              <w:top w:val="nil"/>
              <w:left w:val="nil"/>
              <w:bottom w:val="single" w:sz="4" w:space="0" w:color="auto"/>
              <w:right w:val="single" w:sz="4" w:space="0" w:color="auto"/>
            </w:tcBorders>
            <w:vAlign w:val="center"/>
            <w:hideMark/>
          </w:tcPr>
          <w:p w14:paraId="4CDD9A6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 xml:space="preserve">Leaf count per tree </w:t>
            </w:r>
          </w:p>
        </w:tc>
        <w:tc>
          <w:tcPr>
            <w:tcW w:w="1134" w:type="dxa"/>
            <w:tcBorders>
              <w:top w:val="nil"/>
              <w:left w:val="nil"/>
              <w:bottom w:val="single" w:sz="4" w:space="0" w:color="auto"/>
              <w:right w:val="single" w:sz="4" w:space="0" w:color="auto"/>
            </w:tcBorders>
            <w:vAlign w:val="center"/>
            <w:hideMark/>
          </w:tcPr>
          <w:p w14:paraId="6C78F93E"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77FEB69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407916" w14:paraId="18B16547" w14:textId="77777777" w:rsidTr="00E043D8">
        <w:trPr>
          <w:trHeight w:val="2207"/>
        </w:trPr>
        <w:tc>
          <w:tcPr>
            <w:tcW w:w="1555" w:type="dxa"/>
            <w:tcBorders>
              <w:top w:val="nil"/>
              <w:left w:val="single" w:sz="4" w:space="0" w:color="auto"/>
              <w:bottom w:val="single" w:sz="4" w:space="0" w:color="auto"/>
              <w:right w:val="single" w:sz="4" w:space="0" w:color="auto"/>
            </w:tcBorders>
            <w:vAlign w:val="center"/>
            <w:hideMark/>
          </w:tcPr>
          <w:p w14:paraId="409FD133"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Health_status_census_number</w:t>
            </w:r>
          </w:p>
        </w:tc>
        <w:tc>
          <w:tcPr>
            <w:tcW w:w="3118" w:type="dxa"/>
            <w:tcBorders>
              <w:top w:val="nil"/>
              <w:left w:val="nil"/>
              <w:bottom w:val="single" w:sz="4" w:space="0" w:color="auto"/>
              <w:right w:val="single" w:sz="4" w:space="0" w:color="auto"/>
            </w:tcBorders>
            <w:vAlign w:val="center"/>
            <w:hideMark/>
          </w:tcPr>
          <w:p w14:paraId="4E295B42"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Qualitative evaluation based on fungal, herbivore and pathogen activity  </w:t>
            </w:r>
          </w:p>
        </w:tc>
        <w:tc>
          <w:tcPr>
            <w:tcW w:w="1134" w:type="dxa"/>
            <w:tcBorders>
              <w:top w:val="nil"/>
              <w:left w:val="nil"/>
              <w:bottom w:val="single" w:sz="4" w:space="0" w:color="auto"/>
              <w:right w:val="single" w:sz="4" w:space="0" w:color="auto"/>
            </w:tcBorders>
            <w:vAlign w:val="center"/>
            <w:hideMark/>
          </w:tcPr>
          <w:p w14:paraId="239ED9A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200FC97C"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Fungal, herbivore, pathogen, apical death, cold wind damage, sun damage, hailstone damage, leaf chlorosis, no leaves, few leaves, some branches dead, deficit of iodine, leaf chlorosis, nutrient deficit via brown colour and old leaves are dry.</w:t>
            </w:r>
          </w:p>
        </w:tc>
      </w:tr>
      <w:tr w:rsidR="00103E45" w:rsidRPr="00407916" w14:paraId="4C23FB67" w14:textId="77777777" w:rsidTr="00E043D8">
        <w:trPr>
          <w:trHeight w:val="994"/>
        </w:trPr>
        <w:tc>
          <w:tcPr>
            <w:tcW w:w="1555" w:type="dxa"/>
            <w:tcBorders>
              <w:top w:val="nil"/>
              <w:left w:val="single" w:sz="4" w:space="0" w:color="auto"/>
              <w:bottom w:val="single" w:sz="4" w:space="0" w:color="auto"/>
              <w:right w:val="single" w:sz="4" w:space="0" w:color="auto"/>
            </w:tcBorders>
            <w:vAlign w:val="center"/>
            <w:hideMark/>
          </w:tcPr>
          <w:p w14:paraId="6887165A"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Percentage_herbivore_census_number</w:t>
            </w:r>
          </w:p>
        </w:tc>
        <w:tc>
          <w:tcPr>
            <w:tcW w:w="3118" w:type="dxa"/>
            <w:tcBorders>
              <w:top w:val="nil"/>
              <w:left w:val="nil"/>
              <w:bottom w:val="single" w:sz="4" w:space="0" w:color="auto"/>
              <w:right w:val="single" w:sz="4" w:space="0" w:color="auto"/>
            </w:tcBorders>
            <w:vAlign w:val="center"/>
            <w:hideMark/>
          </w:tcPr>
          <w:p w14:paraId="2171786D"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Qualitative evaluation of damaged leaves; since the third census, some trees did not have any leaf damage, for this reason the entry is frequently zero.</w:t>
            </w:r>
          </w:p>
        </w:tc>
        <w:tc>
          <w:tcPr>
            <w:tcW w:w="1134" w:type="dxa"/>
            <w:tcBorders>
              <w:top w:val="nil"/>
              <w:left w:val="nil"/>
              <w:bottom w:val="single" w:sz="4" w:space="0" w:color="auto"/>
              <w:right w:val="single" w:sz="4" w:space="0" w:color="auto"/>
            </w:tcBorders>
            <w:vAlign w:val="center"/>
            <w:hideMark/>
          </w:tcPr>
          <w:p w14:paraId="1925BF7F"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w:t>
            </w:r>
          </w:p>
        </w:tc>
        <w:tc>
          <w:tcPr>
            <w:tcW w:w="3021" w:type="dxa"/>
            <w:tcBorders>
              <w:top w:val="nil"/>
              <w:left w:val="nil"/>
              <w:bottom w:val="single" w:sz="4" w:space="0" w:color="auto"/>
              <w:right w:val="single" w:sz="4" w:space="0" w:color="auto"/>
            </w:tcBorders>
            <w:vAlign w:val="center"/>
            <w:hideMark/>
          </w:tcPr>
          <w:p w14:paraId="5830331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0 to 100%</w:t>
            </w:r>
          </w:p>
        </w:tc>
      </w:tr>
      <w:tr w:rsidR="00103E45" w:rsidRPr="00407916" w14:paraId="26177FBF" w14:textId="77777777" w:rsidTr="00E043D8">
        <w:trPr>
          <w:trHeight w:val="1027"/>
        </w:trPr>
        <w:tc>
          <w:tcPr>
            <w:tcW w:w="1555" w:type="dxa"/>
            <w:tcBorders>
              <w:top w:val="nil"/>
              <w:left w:val="single" w:sz="4" w:space="0" w:color="auto"/>
              <w:bottom w:val="single" w:sz="4" w:space="0" w:color="auto"/>
              <w:right w:val="single" w:sz="4" w:space="0" w:color="auto"/>
            </w:tcBorders>
            <w:vAlign w:val="center"/>
            <w:hideMark/>
          </w:tcPr>
          <w:p w14:paraId="1B706B4C"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Survival_census_number</w:t>
            </w:r>
          </w:p>
        </w:tc>
        <w:tc>
          <w:tcPr>
            <w:tcW w:w="3118" w:type="dxa"/>
            <w:tcBorders>
              <w:top w:val="nil"/>
              <w:left w:val="nil"/>
              <w:bottom w:val="single" w:sz="4" w:space="0" w:color="auto"/>
              <w:right w:val="single" w:sz="4" w:space="0" w:color="auto"/>
            </w:tcBorders>
            <w:vAlign w:val="center"/>
            <w:hideMark/>
          </w:tcPr>
          <w:p w14:paraId="42D10406"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Trees were classified as live if their stem was green even if they did not have any leaves</w:t>
            </w:r>
          </w:p>
        </w:tc>
        <w:tc>
          <w:tcPr>
            <w:tcW w:w="1134" w:type="dxa"/>
            <w:tcBorders>
              <w:top w:val="nil"/>
              <w:left w:val="nil"/>
              <w:bottom w:val="single" w:sz="4" w:space="0" w:color="auto"/>
              <w:right w:val="single" w:sz="4" w:space="0" w:color="auto"/>
            </w:tcBorders>
            <w:vAlign w:val="center"/>
            <w:hideMark/>
          </w:tcPr>
          <w:p w14:paraId="6794239B"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3021" w:type="dxa"/>
            <w:tcBorders>
              <w:top w:val="nil"/>
              <w:left w:val="nil"/>
              <w:bottom w:val="single" w:sz="4" w:space="0" w:color="auto"/>
              <w:right w:val="single" w:sz="4" w:space="0" w:color="auto"/>
            </w:tcBorders>
            <w:vAlign w:val="center"/>
            <w:hideMark/>
          </w:tcPr>
          <w:p w14:paraId="3926F1D0"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Dead, live or withering</w:t>
            </w:r>
          </w:p>
        </w:tc>
      </w:tr>
    </w:tbl>
    <w:p w14:paraId="6E8C8B4A" w14:textId="77777777" w:rsidR="00103E45" w:rsidRPr="001210DA" w:rsidRDefault="00103E45" w:rsidP="001210DA">
      <w:pPr>
        <w:spacing w:before="240"/>
        <w:jc w:val="both"/>
        <w:rPr>
          <w:rFonts w:ascii="Century Gothic" w:hAnsi="Century Gothic"/>
        </w:rPr>
      </w:pPr>
    </w:p>
    <w:p w14:paraId="20C88BF9" w14:textId="77777777" w:rsidR="00103E45" w:rsidRPr="001210DA" w:rsidRDefault="00103E45" w:rsidP="001210DA">
      <w:pPr>
        <w:jc w:val="both"/>
        <w:rPr>
          <w:rFonts w:ascii="Century Gothic" w:hAnsi="Century Gothic"/>
        </w:rPr>
      </w:pPr>
      <w:r w:rsidRPr="001210DA">
        <w:rPr>
          <w:rFonts w:ascii="Century Gothic" w:hAnsi="Century Gothic"/>
        </w:rPr>
        <w:br w:type="page"/>
      </w:r>
    </w:p>
    <w:p w14:paraId="48AE8D1F" w14:textId="1FEFB28A" w:rsidR="00103E45" w:rsidRPr="00407916" w:rsidRDefault="00103E45" w:rsidP="008B591E">
      <w:pPr>
        <w:rPr>
          <w:rFonts w:ascii="Century Gothic" w:hAnsi="Century Gothic"/>
          <w:sz w:val="20"/>
          <w:szCs w:val="20"/>
        </w:rPr>
      </w:pPr>
      <w:r w:rsidRPr="00037F7F">
        <w:rPr>
          <w:rFonts w:ascii="Century Gothic" w:hAnsi="Century Gothic"/>
          <w:b/>
          <w:bCs/>
          <w:color w:val="033A44"/>
          <w:sz w:val="20"/>
          <w:szCs w:val="20"/>
        </w:rPr>
        <w:lastRenderedPageBreak/>
        <w:t>Table 2</w:t>
      </w:r>
      <w:r w:rsidR="00037F7F">
        <w:rPr>
          <w:rFonts w:ascii="Century Gothic" w:hAnsi="Century Gothic"/>
          <w:b/>
          <w:bCs/>
          <w:color w:val="033A44"/>
          <w:sz w:val="20"/>
          <w:szCs w:val="20"/>
        </w:rPr>
        <w:t>.</w:t>
      </w:r>
      <w:r w:rsidRPr="00037F7F">
        <w:rPr>
          <w:rFonts w:ascii="Century Gothic" w:hAnsi="Century Gothic"/>
          <w:sz w:val="20"/>
          <w:szCs w:val="20"/>
        </w:rPr>
        <w:t xml:space="preserve"> </w:t>
      </w:r>
      <w:r w:rsidR="008B591E" w:rsidRPr="00BB694A">
        <w:rPr>
          <w:rFonts w:ascii="Century Gothic" w:hAnsi="Century Gothic"/>
          <w:sz w:val="20"/>
          <w:szCs w:val="20"/>
        </w:rPr>
        <w:t xml:space="preserve">Description of variables for file </w:t>
      </w:r>
      <w:r w:rsidR="008B591E">
        <w:rPr>
          <w:rFonts w:ascii="Century Gothic" w:hAnsi="Century Gothic"/>
          <w:sz w:val="20"/>
          <w:szCs w:val="20"/>
        </w:rPr>
        <w:t>“</w:t>
      </w:r>
      <w:r w:rsidR="008B591E" w:rsidRPr="008B591E">
        <w:rPr>
          <w:rFonts w:ascii="Century Gothic" w:hAnsi="Century Gothic"/>
          <w:sz w:val="20"/>
          <w:szCs w:val="20"/>
        </w:rPr>
        <w:t>Dataset_leaf_structural_from_common_gardens_in_the_Colombian_Andes_2023-2024</w:t>
      </w:r>
      <w:r w:rsidR="008B591E">
        <w:rPr>
          <w:rFonts w:ascii="Century Gothic" w:hAnsi="Century Gothic"/>
          <w:sz w:val="20"/>
          <w:szCs w:val="20"/>
        </w:rPr>
        <w:t>.csv”</w:t>
      </w:r>
      <w:r w:rsidRPr="00407916">
        <w:rPr>
          <w:rFonts w:ascii="Century Gothic" w:hAnsi="Century Gothic"/>
          <w:sz w:val="20"/>
          <w:szCs w:val="20"/>
        </w:rPr>
        <w:t xml:space="preserve"> </w:t>
      </w:r>
    </w:p>
    <w:tbl>
      <w:tblPr>
        <w:tblW w:w="0" w:type="auto"/>
        <w:tblCellMar>
          <w:left w:w="70" w:type="dxa"/>
          <w:right w:w="70" w:type="dxa"/>
        </w:tblCellMar>
        <w:tblLook w:val="04A0" w:firstRow="1" w:lastRow="0" w:firstColumn="1" w:lastColumn="0" w:noHBand="0" w:noVBand="1"/>
      </w:tblPr>
      <w:tblGrid>
        <w:gridCol w:w="1968"/>
        <w:gridCol w:w="3342"/>
        <w:gridCol w:w="1161"/>
        <w:gridCol w:w="2879"/>
      </w:tblGrid>
      <w:tr w:rsidR="00103E45" w:rsidRPr="001210DA" w14:paraId="611EA56E" w14:textId="77777777" w:rsidTr="00E043D8">
        <w:trPr>
          <w:trHeight w:val="60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6B68CAE8"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Variable</w:t>
            </w:r>
          </w:p>
        </w:tc>
        <w:tc>
          <w:tcPr>
            <w:tcW w:w="0" w:type="auto"/>
            <w:tcBorders>
              <w:top w:val="single" w:sz="4" w:space="0" w:color="auto"/>
              <w:left w:val="nil"/>
              <w:bottom w:val="single" w:sz="4" w:space="0" w:color="auto"/>
              <w:right w:val="single" w:sz="4" w:space="0" w:color="auto"/>
            </w:tcBorders>
            <w:vAlign w:val="center"/>
            <w:hideMark/>
          </w:tcPr>
          <w:p w14:paraId="2E3D0EA8"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Definition</w:t>
            </w:r>
          </w:p>
        </w:tc>
        <w:tc>
          <w:tcPr>
            <w:tcW w:w="1161" w:type="dxa"/>
            <w:tcBorders>
              <w:top w:val="single" w:sz="4" w:space="0" w:color="auto"/>
              <w:left w:val="nil"/>
              <w:bottom w:val="single" w:sz="4" w:space="0" w:color="auto"/>
              <w:right w:val="single" w:sz="4" w:space="0" w:color="auto"/>
            </w:tcBorders>
            <w:vAlign w:val="center"/>
            <w:hideMark/>
          </w:tcPr>
          <w:p w14:paraId="77681DEB"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Unit</w:t>
            </w:r>
          </w:p>
        </w:tc>
        <w:tc>
          <w:tcPr>
            <w:tcW w:w="2879" w:type="dxa"/>
            <w:tcBorders>
              <w:top w:val="single" w:sz="4" w:space="0" w:color="auto"/>
              <w:left w:val="nil"/>
              <w:bottom w:val="single" w:sz="4" w:space="0" w:color="auto"/>
              <w:right w:val="single" w:sz="4" w:space="0" w:color="auto"/>
            </w:tcBorders>
            <w:vAlign w:val="center"/>
            <w:hideMark/>
          </w:tcPr>
          <w:p w14:paraId="7050A6DF" w14:textId="77777777" w:rsidR="00103E45" w:rsidRPr="00407916" w:rsidRDefault="00103E45" w:rsidP="001210DA">
            <w:pPr>
              <w:spacing w:line="240" w:lineRule="auto"/>
              <w:jc w:val="both"/>
              <w:rPr>
                <w:rFonts w:ascii="Century Gothic" w:eastAsia="Times New Roman" w:hAnsi="Century Gothic" w:cs="Arial"/>
                <w:b/>
                <w:bCs/>
                <w:color w:val="000000"/>
                <w:sz w:val="20"/>
                <w:szCs w:val="20"/>
                <w:lang w:val="es-CO"/>
              </w:rPr>
            </w:pPr>
            <w:r w:rsidRPr="00407916">
              <w:rPr>
                <w:rFonts w:ascii="Century Gothic" w:eastAsia="Times New Roman" w:hAnsi="Century Gothic" w:cs="Arial"/>
                <w:b/>
                <w:bCs/>
                <w:color w:val="000000"/>
                <w:sz w:val="20"/>
                <w:szCs w:val="20"/>
                <w:lang w:val="es-CO"/>
              </w:rPr>
              <w:t>Logical Range</w:t>
            </w:r>
          </w:p>
        </w:tc>
      </w:tr>
      <w:tr w:rsidR="00103E45" w:rsidRPr="001210DA" w14:paraId="6AEC7CC6" w14:textId="77777777" w:rsidTr="00E043D8">
        <w:trPr>
          <w:trHeight w:val="810"/>
        </w:trPr>
        <w:tc>
          <w:tcPr>
            <w:tcW w:w="0" w:type="auto"/>
            <w:tcBorders>
              <w:top w:val="nil"/>
              <w:left w:val="single" w:sz="4" w:space="0" w:color="auto"/>
              <w:bottom w:val="single" w:sz="4" w:space="0" w:color="auto"/>
              <w:right w:val="single" w:sz="4" w:space="0" w:color="auto"/>
            </w:tcBorders>
            <w:vAlign w:val="center"/>
            <w:hideMark/>
          </w:tcPr>
          <w:p w14:paraId="6FBD66DE"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Longitude and latitude</w:t>
            </w:r>
          </w:p>
        </w:tc>
        <w:tc>
          <w:tcPr>
            <w:tcW w:w="0" w:type="auto"/>
            <w:tcBorders>
              <w:top w:val="nil"/>
              <w:left w:val="nil"/>
              <w:bottom w:val="single" w:sz="4" w:space="0" w:color="auto"/>
              <w:right w:val="single" w:sz="4" w:space="0" w:color="auto"/>
            </w:tcBorders>
            <w:vAlign w:val="center"/>
            <w:hideMark/>
          </w:tcPr>
          <w:p w14:paraId="502040CB"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Geographic coordinates that define a two-point position on Earth using the WGS84 reference ellipsoid.</w:t>
            </w:r>
          </w:p>
        </w:tc>
        <w:tc>
          <w:tcPr>
            <w:tcW w:w="1161" w:type="dxa"/>
            <w:tcBorders>
              <w:top w:val="nil"/>
              <w:left w:val="nil"/>
              <w:bottom w:val="single" w:sz="4" w:space="0" w:color="auto"/>
              <w:right w:val="single" w:sz="4" w:space="0" w:color="auto"/>
            </w:tcBorders>
            <w:vAlign w:val="center"/>
            <w:hideMark/>
          </w:tcPr>
          <w:p w14:paraId="00628630"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decimal degrees</w:t>
            </w:r>
          </w:p>
        </w:tc>
        <w:tc>
          <w:tcPr>
            <w:tcW w:w="2879" w:type="dxa"/>
            <w:tcBorders>
              <w:top w:val="nil"/>
              <w:left w:val="nil"/>
              <w:bottom w:val="single" w:sz="4" w:space="0" w:color="auto"/>
              <w:right w:val="single" w:sz="4" w:space="0" w:color="auto"/>
            </w:tcBorders>
            <w:vAlign w:val="center"/>
            <w:hideMark/>
          </w:tcPr>
          <w:p w14:paraId="5EC29C2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 xml:space="preserve">S1 (-75.678311N; 5.513277W)                                                                                                                                            S2 (-75.685954N; 5.641678W)                                              S3 (-75.710442N; 5.844561W)                                      </w:t>
            </w:r>
          </w:p>
        </w:tc>
      </w:tr>
      <w:tr w:rsidR="00103E45" w:rsidRPr="001210DA" w14:paraId="6B5D5B04" w14:textId="77777777" w:rsidTr="00E043D8">
        <w:trPr>
          <w:trHeight w:val="600"/>
        </w:trPr>
        <w:tc>
          <w:tcPr>
            <w:tcW w:w="0" w:type="auto"/>
            <w:tcBorders>
              <w:top w:val="nil"/>
              <w:left w:val="single" w:sz="4" w:space="0" w:color="auto"/>
              <w:bottom w:val="single" w:sz="4" w:space="0" w:color="auto"/>
              <w:right w:val="single" w:sz="4" w:space="0" w:color="auto"/>
            </w:tcBorders>
            <w:vAlign w:val="center"/>
            <w:hideMark/>
          </w:tcPr>
          <w:p w14:paraId="0D7B978B"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Elevation</w:t>
            </w:r>
          </w:p>
        </w:tc>
        <w:tc>
          <w:tcPr>
            <w:tcW w:w="0" w:type="auto"/>
            <w:tcBorders>
              <w:top w:val="nil"/>
              <w:left w:val="nil"/>
              <w:bottom w:val="single" w:sz="4" w:space="0" w:color="auto"/>
              <w:right w:val="single" w:sz="4" w:space="0" w:color="auto"/>
            </w:tcBorders>
            <w:vAlign w:val="center"/>
            <w:hideMark/>
          </w:tcPr>
          <w:p w14:paraId="59715A47"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Times New Roman"/>
                <w:color w:val="000000"/>
                <w:sz w:val="20"/>
                <w:szCs w:val="20"/>
              </w:rPr>
              <w:t>The vertical distance of a location above mean sea level</w:t>
            </w:r>
          </w:p>
        </w:tc>
        <w:tc>
          <w:tcPr>
            <w:tcW w:w="1161" w:type="dxa"/>
            <w:tcBorders>
              <w:top w:val="nil"/>
              <w:left w:val="nil"/>
              <w:bottom w:val="single" w:sz="4" w:space="0" w:color="auto"/>
              <w:right w:val="single" w:sz="4" w:space="0" w:color="auto"/>
            </w:tcBorders>
            <w:vAlign w:val="center"/>
            <w:hideMark/>
          </w:tcPr>
          <w:p w14:paraId="6CA14B2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meters above sea level</w:t>
            </w:r>
          </w:p>
        </w:tc>
        <w:tc>
          <w:tcPr>
            <w:tcW w:w="2879" w:type="dxa"/>
            <w:tcBorders>
              <w:top w:val="nil"/>
              <w:left w:val="nil"/>
              <w:bottom w:val="single" w:sz="4" w:space="0" w:color="auto"/>
              <w:right w:val="single" w:sz="4" w:space="0" w:color="auto"/>
            </w:tcBorders>
            <w:vAlign w:val="center"/>
            <w:hideMark/>
          </w:tcPr>
          <w:p w14:paraId="02CC1C1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S1) 2516; S2) 1357 and S3) 736</w:t>
            </w:r>
          </w:p>
        </w:tc>
      </w:tr>
      <w:tr w:rsidR="00103E45" w:rsidRPr="001210DA" w14:paraId="0DD225BA" w14:textId="77777777" w:rsidTr="00E043D8">
        <w:trPr>
          <w:trHeight w:val="540"/>
        </w:trPr>
        <w:tc>
          <w:tcPr>
            <w:tcW w:w="0" w:type="auto"/>
            <w:tcBorders>
              <w:top w:val="nil"/>
              <w:left w:val="single" w:sz="4" w:space="0" w:color="auto"/>
              <w:bottom w:val="single" w:sz="4" w:space="0" w:color="auto"/>
              <w:right w:val="single" w:sz="4" w:space="0" w:color="auto"/>
            </w:tcBorders>
            <w:vAlign w:val="center"/>
            <w:hideMark/>
          </w:tcPr>
          <w:p w14:paraId="7779940D"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 xml:space="preserve">Site temperature </w:t>
            </w:r>
          </w:p>
        </w:tc>
        <w:tc>
          <w:tcPr>
            <w:tcW w:w="0" w:type="auto"/>
            <w:tcBorders>
              <w:top w:val="nil"/>
              <w:left w:val="nil"/>
              <w:bottom w:val="single" w:sz="4" w:space="0" w:color="auto"/>
              <w:right w:val="single" w:sz="4" w:space="0" w:color="auto"/>
            </w:tcBorders>
            <w:vAlign w:val="center"/>
            <w:hideMark/>
          </w:tcPr>
          <w:p w14:paraId="0E31A159"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Mean annual temperature at experimental sites where trees were planted.</w:t>
            </w:r>
          </w:p>
        </w:tc>
        <w:tc>
          <w:tcPr>
            <w:tcW w:w="1161" w:type="dxa"/>
            <w:tcBorders>
              <w:top w:val="nil"/>
              <w:left w:val="nil"/>
              <w:bottom w:val="single" w:sz="4" w:space="0" w:color="auto"/>
              <w:right w:val="single" w:sz="4" w:space="0" w:color="auto"/>
            </w:tcBorders>
            <w:vAlign w:val="center"/>
            <w:hideMark/>
          </w:tcPr>
          <w:p w14:paraId="21079918"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degrees Celsius</w:t>
            </w:r>
          </w:p>
        </w:tc>
        <w:tc>
          <w:tcPr>
            <w:tcW w:w="2879" w:type="dxa"/>
            <w:tcBorders>
              <w:top w:val="nil"/>
              <w:left w:val="nil"/>
              <w:bottom w:val="single" w:sz="4" w:space="0" w:color="auto"/>
              <w:right w:val="single" w:sz="4" w:space="0" w:color="auto"/>
            </w:tcBorders>
            <w:vAlign w:val="center"/>
            <w:hideMark/>
          </w:tcPr>
          <w:p w14:paraId="3B88E55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S1) 13,7; S2) 22,1 and S3) 25,5</w:t>
            </w:r>
          </w:p>
        </w:tc>
      </w:tr>
      <w:tr w:rsidR="00103E45" w:rsidRPr="00055195" w14:paraId="7B98EE9F" w14:textId="77777777" w:rsidTr="00E043D8">
        <w:trPr>
          <w:trHeight w:val="2070"/>
        </w:trPr>
        <w:tc>
          <w:tcPr>
            <w:tcW w:w="0" w:type="auto"/>
            <w:tcBorders>
              <w:top w:val="nil"/>
              <w:left w:val="single" w:sz="4" w:space="0" w:color="auto"/>
              <w:bottom w:val="single" w:sz="4" w:space="0" w:color="auto"/>
              <w:right w:val="single" w:sz="4" w:space="0" w:color="auto"/>
            </w:tcBorders>
            <w:vAlign w:val="center"/>
            <w:hideMark/>
          </w:tcPr>
          <w:p w14:paraId="51FE071E"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Species</w:t>
            </w:r>
          </w:p>
        </w:tc>
        <w:tc>
          <w:tcPr>
            <w:tcW w:w="0" w:type="auto"/>
            <w:tcBorders>
              <w:top w:val="nil"/>
              <w:left w:val="nil"/>
              <w:bottom w:val="single" w:sz="4" w:space="0" w:color="auto"/>
              <w:right w:val="single" w:sz="4" w:space="0" w:color="auto"/>
            </w:tcBorders>
            <w:vAlign w:val="center"/>
            <w:hideMark/>
          </w:tcPr>
          <w:p w14:paraId="1963ECBB"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Fifteen dominant tree species from the Colombian Andes</w:t>
            </w:r>
          </w:p>
        </w:tc>
        <w:tc>
          <w:tcPr>
            <w:tcW w:w="1161" w:type="dxa"/>
            <w:tcBorders>
              <w:top w:val="nil"/>
              <w:left w:val="nil"/>
              <w:bottom w:val="single" w:sz="4" w:space="0" w:color="auto"/>
              <w:right w:val="single" w:sz="4" w:space="0" w:color="auto"/>
            </w:tcBorders>
            <w:vAlign w:val="center"/>
            <w:hideMark/>
          </w:tcPr>
          <w:p w14:paraId="297D8BD1"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2879" w:type="dxa"/>
            <w:tcBorders>
              <w:top w:val="nil"/>
              <w:left w:val="nil"/>
              <w:bottom w:val="single" w:sz="4" w:space="0" w:color="auto"/>
              <w:right w:val="single" w:sz="4" w:space="0" w:color="auto"/>
            </w:tcBorders>
            <w:vAlign w:val="center"/>
            <w:hideMark/>
          </w:tcPr>
          <w:p w14:paraId="50698826" w14:textId="77777777" w:rsidR="00103E45" w:rsidRPr="00407916" w:rsidRDefault="00103E45" w:rsidP="001210DA">
            <w:pPr>
              <w:spacing w:line="240" w:lineRule="auto"/>
              <w:jc w:val="both"/>
              <w:rPr>
                <w:rFonts w:ascii="Century Gothic" w:eastAsia="Times New Roman" w:hAnsi="Century Gothic" w:cs="Arial"/>
                <w:i/>
                <w:iCs/>
                <w:color w:val="000000"/>
                <w:sz w:val="20"/>
                <w:szCs w:val="20"/>
                <w:lang w:val="es-CO"/>
              </w:rPr>
            </w:pPr>
            <w:r w:rsidRPr="00407916">
              <w:rPr>
                <w:rFonts w:ascii="Century Gothic" w:eastAsia="Times New Roman" w:hAnsi="Century Gothic" w:cs="Arial"/>
                <w:color w:val="000000"/>
                <w:sz w:val="20"/>
                <w:szCs w:val="20"/>
                <w:lang w:val="es-CO"/>
              </w:rPr>
              <w:t>Colombia:</w:t>
            </w:r>
            <w:r w:rsidRPr="00407916">
              <w:rPr>
                <w:rFonts w:ascii="Century Gothic" w:eastAsia="Times New Roman" w:hAnsi="Century Gothic" w:cs="Arial"/>
                <w:i/>
                <w:iCs/>
                <w:color w:val="000000"/>
                <w:sz w:val="20"/>
                <w:szCs w:val="20"/>
                <w:lang w:val="es-CO"/>
              </w:rPr>
              <w:t xml:space="preserve"> Andesanthus lepidotus, Chrysochlamys colombiana, Clethra fagifolia, Clusia ducu, Clusia multiflora, Guatteria lehmannii, Hieronyma antioquensis, Ilex laurina, Inga densiflora, Inga ingoides, Inga marginata, Inga spectabilis, Miconia theizans, Quercus humboldtii </w:t>
            </w:r>
            <w:r w:rsidRPr="00407916">
              <w:rPr>
                <w:rFonts w:ascii="Century Gothic" w:eastAsia="Times New Roman" w:hAnsi="Century Gothic" w:cs="Arial"/>
                <w:color w:val="000000"/>
                <w:sz w:val="20"/>
                <w:szCs w:val="20"/>
                <w:lang w:val="es-CO"/>
              </w:rPr>
              <w:t>and</w:t>
            </w:r>
            <w:r w:rsidRPr="00407916">
              <w:rPr>
                <w:rFonts w:ascii="Century Gothic" w:eastAsia="Times New Roman" w:hAnsi="Century Gothic" w:cs="Arial"/>
                <w:i/>
                <w:iCs/>
                <w:color w:val="000000"/>
                <w:sz w:val="20"/>
                <w:szCs w:val="20"/>
                <w:lang w:val="es-CO"/>
              </w:rPr>
              <w:t xml:space="preserve"> Weinmannia pubescens. </w:t>
            </w:r>
          </w:p>
        </w:tc>
      </w:tr>
      <w:tr w:rsidR="00103E45" w:rsidRPr="001210DA" w14:paraId="2C973E0C" w14:textId="77777777" w:rsidTr="00E043D8">
        <w:trPr>
          <w:trHeight w:val="540"/>
        </w:trPr>
        <w:tc>
          <w:tcPr>
            <w:tcW w:w="0" w:type="auto"/>
            <w:tcBorders>
              <w:top w:val="nil"/>
              <w:left w:val="single" w:sz="4" w:space="0" w:color="auto"/>
              <w:bottom w:val="single" w:sz="4" w:space="0" w:color="auto"/>
              <w:right w:val="single" w:sz="4" w:space="0" w:color="auto"/>
            </w:tcBorders>
            <w:vAlign w:val="center"/>
            <w:hideMark/>
          </w:tcPr>
          <w:p w14:paraId="35073B47"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Code</w:t>
            </w:r>
          </w:p>
        </w:tc>
        <w:tc>
          <w:tcPr>
            <w:tcW w:w="0" w:type="auto"/>
            <w:tcBorders>
              <w:top w:val="nil"/>
              <w:left w:val="nil"/>
              <w:bottom w:val="single" w:sz="4" w:space="0" w:color="auto"/>
              <w:right w:val="single" w:sz="4" w:space="0" w:color="auto"/>
            </w:tcBorders>
            <w:vAlign w:val="center"/>
            <w:hideMark/>
          </w:tcPr>
          <w:p w14:paraId="7179F3D3"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An alphanumeric code to identify each tree.  Includes Site, Plot, Block, and tree ID </w:t>
            </w:r>
          </w:p>
        </w:tc>
        <w:tc>
          <w:tcPr>
            <w:tcW w:w="1161" w:type="dxa"/>
            <w:tcBorders>
              <w:top w:val="nil"/>
              <w:left w:val="nil"/>
              <w:bottom w:val="single" w:sz="4" w:space="0" w:color="auto"/>
              <w:right w:val="single" w:sz="4" w:space="0" w:color="auto"/>
            </w:tcBorders>
            <w:vAlign w:val="center"/>
            <w:hideMark/>
          </w:tcPr>
          <w:p w14:paraId="6E8BC81B"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2879" w:type="dxa"/>
            <w:tcBorders>
              <w:top w:val="nil"/>
              <w:left w:val="nil"/>
              <w:bottom w:val="single" w:sz="4" w:space="0" w:color="auto"/>
              <w:right w:val="single" w:sz="4" w:space="0" w:color="auto"/>
            </w:tcBorders>
            <w:vAlign w:val="center"/>
            <w:hideMark/>
          </w:tcPr>
          <w:p w14:paraId="0388A7BA"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3 sites (S1, S2, and S3), 4 plots, 6 blocks, and a numeric tree ID. </w:t>
            </w:r>
          </w:p>
        </w:tc>
      </w:tr>
      <w:tr w:rsidR="00103E45" w:rsidRPr="001210DA" w14:paraId="6F19361D" w14:textId="77777777" w:rsidTr="00E043D8">
        <w:trPr>
          <w:trHeight w:val="300"/>
        </w:trPr>
        <w:tc>
          <w:tcPr>
            <w:tcW w:w="0" w:type="auto"/>
            <w:tcBorders>
              <w:top w:val="nil"/>
              <w:left w:val="single" w:sz="4" w:space="0" w:color="auto"/>
              <w:bottom w:val="single" w:sz="4" w:space="0" w:color="auto"/>
              <w:right w:val="single" w:sz="4" w:space="0" w:color="auto"/>
            </w:tcBorders>
            <w:vAlign w:val="center"/>
            <w:hideMark/>
          </w:tcPr>
          <w:p w14:paraId="41342408"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Date_census number</w:t>
            </w:r>
          </w:p>
        </w:tc>
        <w:tc>
          <w:tcPr>
            <w:tcW w:w="0" w:type="auto"/>
            <w:tcBorders>
              <w:top w:val="nil"/>
              <w:left w:val="nil"/>
              <w:bottom w:val="single" w:sz="4" w:space="0" w:color="auto"/>
              <w:right w:val="single" w:sz="4" w:space="0" w:color="auto"/>
            </w:tcBorders>
            <w:vAlign w:val="center"/>
            <w:hideMark/>
          </w:tcPr>
          <w:p w14:paraId="0857204D"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Census date</w:t>
            </w:r>
          </w:p>
        </w:tc>
        <w:tc>
          <w:tcPr>
            <w:tcW w:w="1161" w:type="dxa"/>
            <w:tcBorders>
              <w:top w:val="nil"/>
              <w:left w:val="nil"/>
              <w:bottom w:val="single" w:sz="4" w:space="0" w:color="auto"/>
              <w:right w:val="single" w:sz="4" w:space="0" w:color="auto"/>
            </w:tcBorders>
            <w:vAlign w:val="center"/>
            <w:hideMark/>
          </w:tcPr>
          <w:p w14:paraId="117ED1D6"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NA</w:t>
            </w:r>
          </w:p>
        </w:tc>
        <w:tc>
          <w:tcPr>
            <w:tcW w:w="2879" w:type="dxa"/>
            <w:tcBorders>
              <w:top w:val="nil"/>
              <w:left w:val="nil"/>
              <w:bottom w:val="single" w:sz="4" w:space="0" w:color="auto"/>
              <w:right w:val="single" w:sz="4" w:space="0" w:color="auto"/>
            </w:tcBorders>
            <w:vAlign w:val="center"/>
            <w:hideMark/>
          </w:tcPr>
          <w:p w14:paraId="4944CA7F"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Day/month/year</w:t>
            </w:r>
          </w:p>
        </w:tc>
      </w:tr>
      <w:tr w:rsidR="00103E45" w:rsidRPr="001210DA" w14:paraId="24FD71F7" w14:textId="77777777" w:rsidTr="00E043D8">
        <w:trPr>
          <w:trHeight w:val="2160"/>
        </w:trPr>
        <w:tc>
          <w:tcPr>
            <w:tcW w:w="0" w:type="auto"/>
            <w:tcBorders>
              <w:top w:val="nil"/>
              <w:left w:val="single" w:sz="4" w:space="0" w:color="auto"/>
              <w:bottom w:val="single" w:sz="4" w:space="0" w:color="auto"/>
              <w:right w:val="single" w:sz="4" w:space="0" w:color="auto"/>
            </w:tcBorders>
            <w:vAlign w:val="center"/>
            <w:hideMark/>
          </w:tcPr>
          <w:p w14:paraId="353DD76B"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Leaf area_number</w:t>
            </w:r>
          </w:p>
        </w:tc>
        <w:tc>
          <w:tcPr>
            <w:tcW w:w="0" w:type="auto"/>
            <w:tcBorders>
              <w:top w:val="nil"/>
              <w:left w:val="nil"/>
              <w:bottom w:val="single" w:sz="4" w:space="0" w:color="auto"/>
              <w:right w:val="single" w:sz="4" w:space="0" w:color="auto"/>
            </w:tcBorders>
            <w:vAlign w:val="center"/>
            <w:hideMark/>
          </w:tcPr>
          <w:p w14:paraId="207DF878"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Leaf area was measured on one leaf per sampled tree. Leaves were photographed alongside calibration pads, and total leaf area was computed using the PetiolePro application. For compound leaves (e.g., species of Inga genus), total leaf area was calculated as the sum of the areas of all leaflets.</w:t>
            </w:r>
          </w:p>
        </w:tc>
        <w:tc>
          <w:tcPr>
            <w:tcW w:w="1161" w:type="dxa"/>
            <w:tcBorders>
              <w:top w:val="nil"/>
              <w:left w:val="nil"/>
              <w:bottom w:val="single" w:sz="4" w:space="0" w:color="auto"/>
              <w:right w:val="single" w:sz="4" w:space="0" w:color="auto"/>
            </w:tcBorders>
            <w:vAlign w:val="center"/>
            <w:hideMark/>
          </w:tcPr>
          <w:p w14:paraId="1BB1C9D8"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cm²</w:t>
            </w:r>
          </w:p>
        </w:tc>
        <w:tc>
          <w:tcPr>
            <w:tcW w:w="2879" w:type="dxa"/>
            <w:tcBorders>
              <w:top w:val="nil"/>
              <w:left w:val="nil"/>
              <w:bottom w:val="single" w:sz="4" w:space="0" w:color="auto"/>
              <w:right w:val="single" w:sz="4" w:space="0" w:color="auto"/>
            </w:tcBorders>
            <w:vAlign w:val="center"/>
            <w:hideMark/>
          </w:tcPr>
          <w:p w14:paraId="0E992A6E"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1210DA" w14:paraId="40380E0A" w14:textId="77777777" w:rsidTr="00E043D8">
        <w:trPr>
          <w:trHeight w:val="1080"/>
        </w:trPr>
        <w:tc>
          <w:tcPr>
            <w:tcW w:w="0" w:type="auto"/>
            <w:tcBorders>
              <w:top w:val="nil"/>
              <w:left w:val="single" w:sz="4" w:space="0" w:color="auto"/>
              <w:bottom w:val="single" w:sz="4" w:space="0" w:color="auto"/>
              <w:right w:val="single" w:sz="4" w:space="0" w:color="auto"/>
            </w:tcBorders>
            <w:vAlign w:val="center"/>
            <w:hideMark/>
          </w:tcPr>
          <w:p w14:paraId="2A09C675"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lastRenderedPageBreak/>
              <w:t>Leaf thickness_number</w:t>
            </w:r>
          </w:p>
        </w:tc>
        <w:tc>
          <w:tcPr>
            <w:tcW w:w="0" w:type="auto"/>
            <w:tcBorders>
              <w:top w:val="nil"/>
              <w:left w:val="nil"/>
              <w:bottom w:val="single" w:sz="4" w:space="0" w:color="auto"/>
              <w:right w:val="single" w:sz="4" w:space="0" w:color="auto"/>
            </w:tcBorders>
            <w:vAlign w:val="center"/>
            <w:hideMark/>
          </w:tcPr>
          <w:p w14:paraId="540F330C"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To determine leaf thickness, four measurements per leaf, without the vein, were taken with a 150mm electronic</w:t>
            </w:r>
            <w:r w:rsidRPr="00407916" w:rsidDel="00A8734B">
              <w:rPr>
                <w:rFonts w:ascii="Century Gothic" w:eastAsia="Times New Roman" w:hAnsi="Century Gothic" w:cs="Arial"/>
                <w:color w:val="000000"/>
                <w:sz w:val="20"/>
                <w:szCs w:val="20"/>
              </w:rPr>
              <w:t xml:space="preserve"> </w:t>
            </w:r>
            <w:r w:rsidRPr="00407916">
              <w:rPr>
                <w:rFonts w:ascii="Century Gothic" w:eastAsia="Times New Roman" w:hAnsi="Century Gothic" w:cs="Arial"/>
                <w:color w:val="000000"/>
                <w:sz w:val="20"/>
                <w:szCs w:val="20"/>
              </w:rPr>
              <w:t>calliper (AK9622EV; Sealey Group).</w:t>
            </w:r>
          </w:p>
        </w:tc>
        <w:tc>
          <w:tcPr>
            <w:tcW w:w="1161" w:type="dxa"/>
            <w:tcBorders>
              <w:top w:val="nil"/>
              <w:left w:val="nil"/>
              <w:bottom w:val="single" w:sz="4" w:space="0" w:color="auto"/>
              <w:right w:val="single" w:sz="4" w:space="0" w:color="auto"/>
            </w:tcBorders>
            <w:vAlign w:val="center"/>
            <w:hideMark/>
          </w:tcPr>
          <w:p w14:paraId="66262434"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mm</w:t>
            </w:r>
          </w:p>
        </w:tc>
        <w:tc>
          <w:tcPr>
            <w:tcW w:w="2879" w:type="dxa"/>
            <w:tcBorders>
              <w:top w:val="nil"/>
              <w:left w:val="nil"/>
              <w:bottom w:val="single" w:sz="4" w:space="0" w:color="auto"/>
              <w:right w:val="single" w:sz="4" w:space="0" w:color="auto"/>
            </w:tcBorders>
            <w:vAlign w:val="center"/>
            <w:hideMark/>
          </w:tcPr>
          <w:p w14:paraId="6047DEB7"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1210DA" w14:paraId="182B90D2" w14:textId="77777777" w:rsidTr="00E043D8">
        <w:trPr>
          <w:trHeight w:val="540"/>
        </w:trPr>
        <w:tc>
          <w:tcPr>
            <w:tcW w:w="0" w:type="auto"/>
            <w:tcBorders>
              <w:top w:val="nil"/>
              <w:left w:val="single" w:sz="4" w:space="0" w:color="auto"/>
              <w:bottom w:val="single" w:sz="4" w:space="0" w:color="auto"/>
              <w:right w:val="single" w:sz="4" w:space="0" w:color="auto"/>
            </w:tcBorders>
            <w:vAlign w:val="center"/>
            <w:hideMark/>
          </w:tcPr>
          <w:p w14:paraId="417F5D44"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Wet weight_number</w:t>
            </w:r>
          </w:p>
        </w:tc>
        <w:tc>
          <w:tcPr>
            <w:tcW w:w="0" w:type="auto"/>
            <w:tcBorders>
              <w:top w:val="nil"/>
              <w:left w:val="nil"/>
              <w:bottom w:val="single" w:sz="4" w:space="0" w:color="auto"/>
              <w:right w:val="single" w:sz="4" w:space="0" w:color="auto"/>
            </w:tcBorders>
            <w:vAlign w:val="center"/>
            <w:hideMark/>
          </w:tcPr>
          <w:p w14:paraId="4E29C60E"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 xml:space="preserve">Fresh weight was taken for each leaf using an analytical balance (±0.001 g) </w:t>
            </w:r>
          </w:p>
        </w:tc>
        <w:tc>
          <w:tcPr>
            <w:tcW w:w="1161" w:type="dxa"/>
            <w:tcBorders>
              <w:top w:val="nil"/>
              <w:left w:val="nil"/>
              <w:bottom w:val="single" w:sz="4" w:space="0" w:color="auto"/>
              <w:right w:val="single" w:sz="4" w:space="0" w:color="auto"/>
            </w:tcBorders>
            <w:vAlign w:val="center"/>
            <w:hideMark/>
          </w:tcPr>
          <w:p w14:paraId="339FE473"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g</w:t>
            </w:r>
          </w:p>
        </w:tc>
        <w:tc>
          <w:tcPr>
            <w:tcW w:w="2879" w:type="dxa"/>
            <w:tcBorders>
              <w:top w:val="nil"/>
              <w:left w:val="nil"/>
              <w:bottom w:val="single" w:sz="4" w:space="0" w:color="auto"/>
              <w:right w:val="single" w:sz="4" w:space="0" w:color="auto"/>
            </w:tcBorders>
            <w:vAlign w:val="center"/>
            <w:hideMark/>
          </w:tcPr>
          <w:p w14:paraId="180BCFB2"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1210DA" w14:paraId="1FD7833C" w14:textId="77777777" w:rsidTr="00E043D8">
        <w:trPr>
          <w:trHeight w:val="810"/>
        </w:trPr>
        <w:tc>
          <w:tcPr>
            <w:tcW w:w="0" w:type="auto"/>
            <w:tcBorders>
              <w:top w:val="nil"/>
              <w:left w:val="single" w:sz="4" w:space="0" w:color="auto"/>
              <w:bottom w:val="single" w:sz="4" w:space="0" w:color="auto"/>
              <w:right w:val="single" w:sz="4" w:space="0" w:color="auto"/>
            </w:tcBorders>
            <w:vAlign w:val="center"/>
            <w:hideMark/>
          </w:tcPr>
          <w:p w14:paraId="5A5F81C2"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Dry weight_number</w:t>
            </w:r>
          </w:p>
        </w:tc>
        <w:tc>
          <w:tcPr>
            <w:tcW w:w="0" w:type="auto"/>
            <w:tcBorders>
              <w:top w:val="nil"/>
              <w:left w:val="nil"/>
              <w:bottom w:val="single" w:sz="4" w:space="0" w:color="auto"/>
              <w:right w:val="single" w:sz="4" w:space="0" w:color="auto"/>
            </w:tcBorders>
            <w:vAlign w:val="center"/>
            <w:hideMark/>
          </w:tcPr>
          <w:p w14:paraId="1D01D588"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Each leaf was placed in an oven to dry at 70 °C for approximately 48 hours until a constant weight was reached.</w:t>
            </w:r>
          </w:p>
        </w:tc>
        <w:tc>
          <w:tcPr>
            <w:tcW w:w="1161" w:type="dxa"/>
            <w:tcBorders>
              <w:top w:val="nil"/>
              <w:left w:val="nil"/>
              <w:bottom w:val="single" w:sz="4" w:space="0" w:color="auto"/>
              <w:right w:val="single" w:sz="4" w:space="0" w:color="auto"/>
            </w:tcBorders>
            <w:vAlign w:val="center"/>
            <w:hideMark/>
          </w:tcPr>
          <w:p w14:paraId="6A698504"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g</w:t>
            </w:r>
          </w:p>
        </w:tc>
        <w:tc>
          <w:tcPr>
            <w:tcW w:w="2879" w:type="dxa"/>
            <w:tcBorders>
              <w:top w:val="nil"/>
              <w:left w:val="nil"/>
              <w:bottom w:val="single" w:sz="4" w:space="0" w:color="auto"/>
              <w:right w:val="single" w:sz="4" w:space="0" w:color="auto"/>
            </w:tcBorders>
            <w:vAlign w:val="center"/>
            <w:hideMark/>
          </w:tcPr>
          <w:p w14:paraId="6D20D6A6"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r w:rsidR="00103E45" w:rsidRPr="001210DA" w14:paraId="03F6E0C9" w14:textId="77777777" w:rsidTr="00E043D8">
        <w:trPr>
          <w:trHeight w:val="540"/>
        </w:trPr>
        <w:tc>
          <w:tcPr>
            <w:tcW w:w="0" w:type="auto"/>
            <w:tcBorders>
              <w:top w:val="nil"/>
              <w:left w:val="single" w:sz="4" w:space="0" w:color="auto"/>
              <w:bottom w:val="single" w:sz="4" w:space="0" w:color="auto"/>
              <w:right w:val="single" w:sz="4" w:space="0" w:color="auto"/>
            </w:tcBorders>
            <w:vAlign w:val="center"/>
            <w:hideMark/>
          </w:tcPr>
          <w:p w14:paraId="29D2620D"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Leaf mass per area (LMA)_number</w:t>
            </w:r>
          </w:p>
        </w:tc>
        <w:tc>
          <w:tcPr>
            <w:tcW w:w="0" w:type="auto"/>
            <w:tcBorders>
              <w:top w:val="nil"/>
              <w:left w:val="nil"/>
              <w:bottom w:val="single" w:sz="4" w:space="0" w:color="auto"/>
              <w:right w:val="single" w:sz="4" w:space="0" w:color="auto"/>
            </w:tcBorders>
            <w:vAlign w:val="center"/>
            <w:hideMark/>
          </w:tcPr>
          <w:p w14:paraId="07084A9E" w14:textId="77777777" w:rsidR="00103E45" w:rsidRPr="00407916" w:rsidRDefault="00103E45" w:rsidP="001210DA">
            <w:pPr>
              <w:spacing w:line="240" w:lineRule="auto"/>
              <w:jc w:val="both"/>
              <w:rPr>
                <w:rFonts w:ascii="Century Gothic" w:eastAsia="Times New Roman" w:hAnsi="Century Gothic" w:cs="Arial"/>
                <w:color w:val="000000"/>
                <w:sz w:val="20"/>
                <w:szCs w:val="20"/>
              </w:rPr>
            </w:pPr>
            <w:r w:rsidRPr="00407916">
              <w:rPr>
                <w:rFonts w:ascii="Century Gothic" w:eastAsia="Times New Roman" w:hAnsi="Century Gothic" w:cs="Arial"/>
                <w:color w:val="000000"/>
                <w:sz w:val="20"/>
                <w:szCs w:val="20"/>
              </w:rPr>
              <w:t>Leaf mass per area, estimated as leaf dry weight divided by fresh leaf area.</w:t>
            </w:r>
          </w:p>
        </w:tc>
        <w:tc>
          <w:tcPr>
            <w:tcW w:w="1161" w:type="dxa"/>
            <w:tcBorders>
              <w:top w:val="nil"/>
              <w:left w:val="nil"/>
              <w:bottom w:val="single" w:sz="4" w:space="0" w:color="auto"/>
              <w:right w:val="single" w:sz="4" w:space="0" w:color="auto"/>
            </w:tcBorders>
            <w:vAlign w:val="center"/>
            <w:hideMark/>
          </w:tcPr>
          <w:p w14:paraId="64234439"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g m</w:t>
            </w:r>
            <w:r w:rsidRPr="00407916">
              <w:rPr>
                <w:rFonts w:ascii="Century Gothic" w:eastAsia="Times New Roman" w:hAnsi="Century Gothic" w:cs="Arial"/>
                <w:color w:val="000000"/>
                <w:sz w:val="20"/>
                <w:szCs w:val="20"/>
                <w:vertAlign w:val="superscript"/>
                <w:lang w:val="es-CO"/>
              </w:rPr>
              <w:t>-</w:t>
            </w:r>
            <w:r w:rsidRPr="00407916">
              <w:rPr>
                <w:rFonts w:ascii="Century Gothic" w:eastAsia="Times New Roman" w:hAnsi="Century Gothic" w:cs="Arial"/>
                <w:color w:val="000000"/>
                <w:sz w:val="20"/>
                <w:szCs w:val="20"/>
                <w:lang w:val="es-CO"/>
              </w:rPr>
              <w:t>²</w:t>
            </w:r>
          </w:p>
        </w:tc>
        <w:tc>
          <w:tcPr>
            <w:tcW w:w="2879" w:type="dxa"/>
            <w:tcBorders>
              <w:top w:val="nil"/>
              <w:left w:val="nil"/>
              <w:bottom w:val="single" w:sz="4" w:space="0" w:color="auto"/>
              <w:right w:val="single" w:sz="4" w:space="0" w:color="auto"/>
            </w:tcBorders>
            <w:vAlign w:val="center"/>
            <w:hideMark/>
          </w:tcPr>
          <w:p w14:paraId="37FD1AB8" w14:textId="77777777" w:rsidR="00103E45" w:rsidRPr="00407916" w:rsidRDefault="00103E45" w:rsidP="001210DA">
            <w:pPr>
              <w:spacing w:line="240" w:lineRule="auto"/>
              <w:jc w:val="both"/>
              <w:rPr>
                <w:rFonts w:ascii="Century Gothic" w:eastAsia="Times New Roman" w:hAnsi="Century Gothic" w:cs="Arial"/>
                <w:color w:val="000000"/>
                <w:sz w:val="20"/>
                <w:szCs w:val="20"/>
                <w:lang w:val="es-CO"/>
              </w:rPr>
            </w:pPr>
            <w:r w:rsidRPr="00407916">
              <w:rPr>
                <w:rFonts w:ascii="Century Gothic" w:eastAsia="Times New Roman" w:hAnsi="Century Gothic" w:cs="Arial"/>
                <w:color w:val="000000"/>
                <w:sz w:val="20"/>
                <w:szCs w:val="20"/>
                <w:lang w:val="es-CO"/>
              </w:rPr>
              <w:t>Positive values</w:t>
            </w:r>
          </w:p>
        </w:tc>
      </w:tr>
    </w:tbl>
    <w:p w14:paraId="311A2DA0" w14:textId="77777777" w:rsidR="00103E45" w:rsidRPr="001210DA" w:rsidRDefault="00103E45" w:rsidP="001210DA">
      <w:pPr>
        <w:jc w:val="both"/>
        <w:rPr>
          <w:rFonts w:ascii="Century Gothic" w:hAnsi="Century Gothic"/>
        </w:rPr>
      </w:pPr>
    </w:p>
    <w:p w14:paraId="54552C37" w14:textId="77777777" w:rsidR="00103E45" w:rsidRPr="001210DA" w:rsidRDefault="00103E45" w:rsidP="001210DA">
      <w:pPr>
        <w:jc w:val="both"/>
        <w:rPr>
          <w:rFonts w:ascii="Century Gothic" w:hAnsi="Century Gothic"/>
        </w:rPr>
      </w:pPr>
    </w:p>
    <w:p w14:paraId="628E12B2" w14:textId="77777777" w:rsidR="00103E45" w:rsidRPr="001210DA" w:rsidRDefault="00103E45" w:rsidP="001210DA">
      <w:pPr>
        <w:jc w:val="both"/>
        <w:rPr>
          <w:rFonts w:ascii="Century Gothic" w:hAnsi="Century Gothic"/>
          <w:b/>
          <w:bCs/>
          <w:lang w:val="es-CO"/>
        </w:rPr>
      </w:pPr>
      <w:r w:rsidRPr="00407916">
        <w:rPr>
          <w:rFonts w:ascii="Century Gothic" w:hAnsi="Century Gothic"/>
          <w:b/>
          <w:bCs/>
          <w:color w:val="033A44"/>
          <w:lang w:val="es-CO"/>
        </w:rPr>
        <w:t>References</w:t>
      </w:r>
      <w:r w:rsidRPr="001210DA">
        <w:rPr>
          <w:rFonts w:ascii="Century Gothic" w:hAnsi="Century Gothic"/>
          <w:b/>
          <w:bCs/>
          <w:lang w:val="es-CO"/>
        </w:rPr>
        <w:t>.</w:t>
      </w:r>
    </w:p>
    <w:p w14:paraId="0991F266" w14:textId="77777777" w:rsidR="00103E45" w:rsidRPr="001210DA" w:rsidRDefault="00103E45" w:rsidP="001210DA">
      <w:pPr>
        <w:spacing w:before="240"/>
        <w:jc w:val="both"/>
        <w:rPr>
          <w:rFonts w:ascii="Century Gothic" w:hAnsi="Century Gothic"/>
        </w:rPr>
      </w:pPr>
      <w:r w:rsidRPr="001210DA">
        <w:rPr>
          <w:rFonts w:ascii="Century Gothic" w:hAnsi="Century Gothic"/>
        </w:rPr>
        <w:t>Katabuchi, M. (2015) LeafArea: an R package for rapid digital image analysis of leaf area. Ecological Research, 30(6), 1073–1077.</w:t>
      </w:r>
    </w:p>
    <w:p w14:paraId="3F0CFBCF" w14:textId="77777777" w:rsidR="00103E45" w:rsidRPr="001210DA" w:rsidRDefault="00103E45" w:rsidP="001210DA">
      <w:pPr>
        <w:spacing w:before="240"/>
        <w:jc w:val="both"/>
        <w:rPr>
          <w:rFonts w:ascii="Century Gothic" w:hAnsi="Century Gothic"/>
        </w:rPr>
      </w:pPr>
      <w:r w:rsidRPr="001210DA">
        <w:rPr>
          <w:rFonts w:ascii="Century Gothic" w:hAnsi="Century Gothic"/>
        </w:rPr>
        <w:t>R Core Team. (2022) R: A language and environment for statistical computing. R Foundation for Statistical Computing. Vienna, Austria. Available at: https://www.R-project.org</w:t>
      </w:r>
    </w:p>
    <w:p w14:paraId="70251C59" w14:textId="77777777" w:rsidR="00103E45" w:rsidRPr="001210DA" w:rsidRDefault="00103E45" w:rsidP="001210DA">
      <w:pPr>
        <w:widowControl w:val="0"/>
        <w:autoSpaceDE w:val="0"/>
        <w:autoSpaceDN w:val="0"/>
        <w:adjustRightInd w:val="0"/>
        <w:spacing w:before="240"/>
        <w:jc w:val="both"/>
        <w:rPr>
          <w:rFonts w:ascii="Century Gothic" w:hAnsi="Century Gothic"/>
          <w:noProof/>
        </w:rPr>
      </w:pPr>
      <w:r w:rsidRPr="001210DA">
        <w:rPr>
          <w:rFonts w:ascii="Century Gothic" w:hAnsi="Century Gothic"/>
          <w:lang w:val="es-CO"/>
        </w:rPr>
        <w:fldChar w:fldCharType="begin" w:fldLock="1"/>
      </w:r>
      <w:r w:rsidRPr="001210DA">
        <w:rPr>
          <w:rFonts w:ascii="Century Gothic" w:hAnsi="Century Gothic"/>
          <w:lang w:val="es-CO"/>
        </w:rPr>
        <w:instrText xml:space="preserve">ADDIN Mendeley Bibliography CSL_BIBLIOGRAPHY </w:instrText>
      </w:r>
      <w:r w:rsidRPr="001210DA">
        <w:rPr>
          <w:rFonts w:ascii="Century Gothic" w:hAnsi="Century Gothic"/>
          <w:lang w:val="es-CO"/>
        </w:rPr>
        <w:fldChar w:fldCharType="separate"/>
      </w:r>
      <w:r w:rsidRPr="001210DA">
        <w:rPr>
          <w:rFonts w:ascii="Century Gothic" w:hAnsi="Century Gothic" w:cs="Times New Roman"/>
          <w:noProof/>
          <w:lang w:val="es-419"/>
        </w:rPr>
        <w:t xml:space="preserve">Restrepo, Z., González-caro, S., Hartley, I. P., Villegas, J. C., Meir, P., Sanchez, A., Carrascal, D. R., &amp; Mercado, L. M. (2025). </w:t>
      </w:r>
      <w:r w:rsidRPr="001210DA">
        <w:rPr>
          <w:rFonts w:ascii="Century Gothic" w:hAnsi="Century Gothic" w:cs="Times New Roman"/>
          <w:noProof/>
        </w:rPr>
        <w:t xml:space="preserve">Heterogeneous thermal tolerance of dominant Andean montane tree species. </w:t>
      </w:r>
      <w:r w:rsidRPr="001210DA">
        <w:rPr>
          <w:rFonts w:ascii="Century Gothic" w:hAnsi="Century Gothic" w:cs="Times New Roman"/>
          <w:i/>
          <w:iCs/>
          <w:noProof/>
        </w:rPr>
        <w:t>Communications Earth &amp; Environment</w:t>
      </w:r>
      <w:r w:rsidRPr="001210DA">
        <w:rPr>
          <w:rFonts w:ascii="Century Gothic" w:hAnsi="Century Gothic" w:cs="Times New Roman"/>
          <w:noProof/>
        </w:rPr>
        <w:t>, 1–11. https://doi.org/10.1038/s43247-025-02083-w</w:t>
      </w:r>
    </w:p>
    <w:p w14:paraId="3048F5EB" w14:textId="1B6DB856" w:rsidR="00103E45" w:rsidRPr="001210DA" w:rsidRDefault="00103E45" w:rsidP="00AD1C4A">
      <w:pPr>
        <w:spacing w:before="240"/>
        <w:jc w:val="both"/>
        <w:rPr>
          <w:rFonts w:ascii="Century Gothic" w:hAnsi="Century Gothic"/>
        </w:rPr>
      </w:pPr>
      <w:r w:rsidRPr="001210DA">
        <w:rPr>
          <w:rFonts w:ascii="Century Gothic" w:hAnsi="Century Gothic"/>
          <w:lang w:val="es-CO"/>
        </w:rPr>
        <w:fldChar w:fldCharType="end"/>
      </w:r>
      <w:r w:rsidRPr="001210DA">
        <w:rPr>
          <w:rFonts w:ascii="Century Gothic" w:hAnsi="Century Gothic"/>
          <w:lang w:val="es-CO"/>
        </w:rPr>
        <w:t>Restrepo, Z. and Mercado, L.M. (2024). </w:t>
      </w:r>
      <w:r w:rsidRPr="001210DA">
        <w:rPr>
          <w:rFonts w:ascii="Century Gothic" w:hAnsi="Century Gothic"/>
        </w:rPr>
        <w:t>Leaf structural traits and allometry of juvenile trees across temperature treatments in an experimental plantation in the Colombian Andes, 2019-2022. NERC EDS Environmental Information Data Centre. </w:t>
      </w:r>
      <w:hyperlink r:id="rId9">
        <w:r w:rsidRPr="001210DA">
          <w:rPr>
            <w:rFonts w:ascii="Century Gothic" w:hAnsi="Century Gothic"/>
            <w:color w:val="0000FF"/>
            <w:u w:val="single"/>
          </w:rPr>
          <w:t>https://doi.org/10.5285/c7ce1610-aba3-4a09-bf7c-1b6c774d597a</w:t>
        </w:r>
      </w:hyperlink>
    </w:p>
    <w:p w14:paraId="2512AEE5" w14:textId="77AA1088" w:rsidR="004F1F63" w:rsidRPr="001210DA" w:rsidRDefault="004F1F63" w:rsidP="001210DA">
      <w:pPr>
        <w:jc w:val="both"/>
        <w:rPr>
          <w:rFonts w:ascii="Century Gothic" w:hAnsi="Century Gothic"/>
        </w:rPr>
      </w:pPr>
    </w:p>
    <w:sectPr w:rsidR="004F1F63" w:rsidRPr="001210DA" w:rsidSect="00164B96">
      <w:headerReference w:type="default" r:id="rId10"/>
      <w:footerReference w:type="default" r:id="rId11"/>
      <w:pgSz w:w="12240" w:h="15840"/>
      <w:pgMar w:top="1440" w:right="1440" w:bottom="1418"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F21FE" w14:textId="77777777" w:rsidR="00EE2EC0" w:rsidRDefault="00EE2EC0">
      <w:pPr>
        <w:spacing w:after="0" w:line="240" w:lineRule="auto"/>
      </w:pPr>
      <w:r>
        <w:separator/>
      </w:r>
    </w:p>
  </w:endnote>
  <w:endnote w:type="continuationSeparator" w:id="0">
    <w:p w14:paraId="0D5004DD" w14:textId="77777777" w:rsidR="00EE2EC0" w:rsidRDefault="00EE2E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8B3F78F1-2CC1-45DF-8EE2-1A6EDCF5A590}"/>
    <w:embedBold r:id="rId2" w:fontKey="{ECCAF568-0954-4D98-8CF1-FA3A667E34A2}"/>
    <w:embedItalic r:id="rId3" w:fontKey="{9F6AA8EB-5BDE-40E8-AF6B-C44E67DB2219}"/>
  </w:font>
  <w:font w:name="Century Gothic">
    <w:panose1 w:val="020B0502020202020204"/>
    <w:charset w:val="00"/>
    <w:family w:val="swiss"/>
    <w:pitch w:val="variable"/>
    <w:sig w:usb0="00000287" w:usb1="00000000" w:usb2="00000000" w:usb3="00000000" w:csb0="0000009F" w:csb1="00000000"/>
    <w:embedRegular r:id="rId4" w:fontKey="{61D98F13-9D8F-4F24-BB2D-CADED6637E2E}"/>
    <w:embedBold r:id="rId5" w:fontKey="{53E355BA-CE3E-4D6C-A3C0-66DC88773044}"/>
    <w:embedItalic r:id="rId6" w:fontKey="{C9AD21C3-21BC-47EB-AFA6-9F2193B92C0E}"/>
  </w:font>
  <w:font w:name="Calibri Light">
    <w:panose1 w:val="020F0302020204030204"/>
    <w:charset w:val="00"/>
    <w:family w:val="swiss"/>
    <w:pitch w:val="variable"/>
    <w:sig w:usb0="E4002EFF" w:usb1="C200247B" w:usb2="00000009" w:usb3="00000000" w:csb0="000001FF" w:csb1="00000000"/>
    <w:embedRegular r:id="rId7" w:fontKey="{0D422352-39E6-4FEC-9A6A-26966CF824C3}"/>
    <w:embedItalic r:id="rId8" w:fontKey="{6F4DEE18-65D7-4C43-882B-8DEAF62061A2}"/>
  </w:font>
  <w:font w:name="Segoe UI">
    <w:panose1 w:val="020B0502040204020203"/>
    <w:charset w:val="00"/>
    <w:family w:val="swiss"/>
    <w:pitch w:val="variable"/>
    <w:sig w:usb0="E4002EFF" w:usb1="C000E47F" w:usb2="00000009" w:usb3="00000000" w:csb0="000001FF" w:csb1="00000000"/>
    <w:embedRegular r:id="rId9" w:fontKey="{AA4BB05A-C7C5-41DB-B253-0B046BE735D9}"/>
  </w:font>
  <w:font w:name="Georgia">
    <w:panose1 w:val="02040502050405020303"/>
    <w:charset w:val="00"/>
    <w:family w:val="roman"/>
    <w:pitch w:val="variable"/>
    <w:sig w:usb0="00000287" w:usb1="00000000" w:usb2="00000000" w:usb3="00000000" w:csb0="0000009F" w:csb1="00000000"/>
    <w:embedItalic r:id="rId10" w:fontKey="{7B760E4B-1329-439A-B62B-0F153BD8AB47}"/>
  </w:font>
  <w:font w:name="Cambria Math">
    <w:panose1 w:val="02040503050406030204"/>
    <w:charset w:val="00"/>
    <w:family w:val="roman"/>
    <w:pitch w:val="variable"/>
    <w:sig w:usb0="E00006FF" w:usb1="420024FF" w:usb2="02000000" w:usb3="00000000" w:csb0="0000019F" w:csb1="00000000"/>
    <w:embedRegular r:id="rId11" w:fontKey="{19F4A3F6-06ED-4BDB-A2DC-32DAADF10C5C}"/>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C" w14:textId="179B3767" w:rsidR="004F1F63" w:rsidRDefault="003B53F0">
    <w:pPr>
      <w:pBdr>
        <w:top w:val="nil"/>
        <w:left w:val="nil"/>
        <w:bottom w:val="nil"/>
        <w:right w:val="nil"/>
        <w:between w:val="nil"/>
      </w:pBdr>
      <w:tabs>
        <w:tab w:val="center" w:pos="4513"/>
        <w:tab w:val="right" w:pos="9026"/>
      </w:tabs>
      <w:spacing w:after="0" w:line="240" w:lineRule="auto"/>
      <w:jc w:val="right"/>
      <w:rPr>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77000B">
      <w:rPr>
        <w:noProof/>
        <w:color w:val="000000"/>
        <w:sz w:val="20"/>
        <w:szCs w:val="20"/>
      </w:rPr>
      <w:t>1</w:t>
    </w:r>
    <w:r>
      <w:rPr>
        <w:color w:val="000000"/>
        <w:sz w:val="20"/>
        <w:szCs w:val="20"/>
      </w:rPr>
      <w:fldChar w:fldCharType="end"/>
    </w:r>
    <w:r>
      <w:rPr>
        <w:color w:val="000000"/>
        <w:sz w:val="20"/>
        <w:szCs w:val="20"/>
      </w:rPr>
      <w:t xml:space="preserve"> | </w:t>
    </w:r>
    <w:r>
      <w:rPr>
        <w:color w:val="000000"/>
        <w:sz w:val="20"/>
        <w:szCs w:val="20"/>
      </w:rPr>
      <w:fldChar w:fldCharType="begin"/>
    </w:r>
    <w:r>
      <w:rPr>
        <w:color w:val="000000"/>
        <w:sz w:val="20"/>
        <w:szCs w:val="20"/>
      </w:rPr>
      <w:instrText>NUMPAGES</w:instrText>
    </w:r>
    <w:r>
      <w:rPr>
        <w:color w:val="000000"/>
        <w:sz w:val="20"/>
        <w:szCs w:val="20"/>
      </w:rPr>
      <w:fldChar w:fldCharType="separate"/>
    </w:r>
    <w:r w:rsidR="0077000B">
      <w:rPr>
        <w:noProof/>
        <w:color w:val="000000"/>
        <w:sz w:val="20"/>
        <w:szCs w:val="20"/>
      </w:rPr>
      <w:t>2</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BAC46" w14:textId="77777777" w:rsidR="00EE2EC0" w:rsidRDefault="00EE2EC0">
      <w:pPr>
        <w:spacing w:after="0" w:line="240" w:lineRule="auto"/>
      </w:pPr>
      <w:r>
        <w:separator/>
      </w:r>
    </w:p>
  </w:footnote>
  <w:footnote w:type="continuationSeparator" w:id="0">
    <w:p w14:paraId="6BB51107" w14:textId="77777777" w:rsidR="00EE2EC0" w:rsidRDefault="00EE2E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B" w14:textId="77777777" w:rsidR="004F1F63" w:rsidRDefault="003B53F0">
    <w:pPr>
      <w:pBdr>
        <w:top w:val="nil"/>
        <w:left w:val="nil"/>
        <w:bottom w:val="nil"/>
        <w:right w:val="nil"/>
        <w:between w:val="nil"/>
      </w:pBdr>
      <w:tabs>
        <w:tab w:val="center" w:pos="4513"/>
        <w:tab w:val="right" w:pos="9026"/>
        <w:tab w:val="right" w:pos="9356"/>
      </w:tabs>
      <w:spacing w:after="0" w:line="240" w:lineRule="auto"/>
      <w:rPr>
        <w:color w:val="000000"/>
        <w:sz w:val="18"/>
        <w:szCs w:val="18"/>
      </w:rPr>
    </w:pPr>
    <w:r>
      <w:rPr>
        <w:color w:val="000000"/>
        <w:sz w:val="18"/>
        <w:szCs w:val="18"/>
      </w:rPr>
      <w:t>Supporting information template</w:t>
    </w:r>
    <w:r>
      <w:rPr>
        <w:color w:val="000000"/>
        <w:sz w:val="18"/>
        <w:szCs w:val="18"/>
      </w:rPr>
      <w:tab/>
      <w:t>V2.0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B33C8D"/>
    <w:multiLevelType w:val="multilevel"/>
    <w:tmpl w:val="0FCC44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89B7D45"/>
    <w:multiLevelType w:val="multilevel"/>
    <w:tmpl w:val="2B886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8C005BD"/>
    <w:multiLevelType w:val="multilevel"/>
    <w:tmpl w:val="85208988"/>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3" w15:restartNumberingAfterBreak="0">
    <w:nsid w:val="73EF7BEF"/>
    <w:multiLevelType w:val="multilevel"/>
    <w:tmpl w:val="898AE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4D604F7"/>
    <w:multiLevelType w:val="multilevel"/>
    <w:tmpl w:val="240A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698623807">
    <w:abstractNumId w:val="2"/>
  </w:num>
  <w:num w:numId="2" w16cid:durableId="334379268">
    <w:abstractNumId w:val="3"/>
  </w:num>
  <w:num w:numId="3" w16cid:durableId="1747261259">
    <w:abstractNumId w:val="0"/>
  </w:num>
  <w:num w:numId="4" w16cid:durableId="1746997394">
    <w:abstractNumId w:val="1"/>
  </w:num>
  <w:num w:numId="5" w16cid:durableId="19119330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F63"/>
    <w:rsid w:val="0001142C"/>
    <w:rsid w:val="00014EBC"/>
    <w:rsid w:val="00025229"/>
    <w:rsid w:val="000265EC"/>
    <w:rsid w:val="000268BE"/>
    <w:rsid w:val="00026B41"/>
    <w:rsid w:val="000350FE"/>
    <w:rsid w:val="00037F7F"/>
    <w:rsid w:val="00043303"/>
    <w:rsid w:val="00055195"/>
    <w:rsid w:val="00055B95"/>
    <w:rsid w:val="00060E05"/>
    <w:rsid w:val="0007034B"/>
    <w:rsid w:val="00094EFC"/>
    <w:rsid w:val="00097F87"/>
    <w:rsid w:val="000A08A6"/>
    <w:rsid w:val="000B5887"/>
    <w:rsid w:val="000B782A"/>
    <w:rsid w:val="000C6211"/>
    <w:rsid w:val="000D33F5"/>
    <w:rsid w:val="000D7F33"/>
    <w:rsid w:val="000E6434"/>
    <w:rsid w:val="000F0ACF"/>
    <w:rsid w:val="00103E45"/>
    <w:rsid w:val="00106934"/>
    <w:rsid w:val="00114ABF"/>
    <w:rsid w:val="001210DA"/>
    <w:rsid w:val="001311CE"/>
    <w:rsid w:val="00131647"/>
    <w:rsid w:val="00135457"/>
    <w:rsid w:val="00135CF7"/>
    <w:rsid w:val="001463E8"/>
    <w:rsid w:val="00164B96"/>
    <w:rsid w:val="00171DB1"/>
    <w:rsid w:val="0017436F"/>
    <w:rsid w:val="00190096"/>
    <w:rsid w:val="001B1FAD"/>
    <w:rsid w:val="001B659B"/>
    <w:rsid w:val="001B6D5D"/>
    <w:rsid w:val="001D1CB6"/>
    <w:rsid w:val="001D7361"/>
    <w:rsid w:val="001E0F4F"/>
    <w:rsid w:val="001F5E32"/>
    <w:rsid w:val="002011CB"/>
    <w:rsid w:val="00210627"/>
    <w:rsid w:val="002124AC"/>
    <w:rsid w:val="002208DC"/>
    <w:rsid w:val="0025559A"/>
    <w:rsid w:val="002611F4"/>
    <w:rsid w:val="00262FCB"/>
    <w:rsid w:val="002964F9"/>
    <w:rsid w:val="002A1113"/>
    <w:rsid w:val="002A5DED"/>
    <w:rsid w:val="002D0E0E"/>
    <w:rsid w:val="002E7ECE"/>
    <w:rsid w:val="003222A2"/>
    <w:rsid w:val="003260F3"/>
    <w:rsid w:val="0033659C"/>
    <w:rsid w:val="00336C3B"/>
    <w:rsid w:val="00341CA8"/>
    <w:rsid w:val="00357004"/>
    <w:rsid w:val="00357C6E"/>
    <w:rsid w:val="00396765"/>
    <w:rsid w:val="003A1AC5"/>
    <w:rsid w:val="003A3839"/>
    <w:rsid w:val="003A6396"/>
    <w:rsid w:val="003B4178"/>
    <w:rsid w:val="003B53F0"/>
    <w:rsid w:val="003B64B2"/>
    <w:rsid w:val="003C36B2"/>
    <w:rsid w:val="003D2329"/>
    <w:rsid w:val="003D6749"/>
    <w:rsid w:val="003D7E79"/>
    <w:rsid w:val="003E18CC"/>
    <w:rsid w:val="003E7D59"/>
    <w:rsid w:val="003F76FB"/>
    <w:rsid w:val="00400529"/>
    <w:rsid w:val="004049BC"/>
    <w:rsid w:val="00407916"/>
    <w:rsid w:val="0042514A"/>
    <w:rsid w:val="004318F2"/>
    <w:rsid w:val="00433E81"/>
    <w:rsid w:val="00435114"/>
    <w:rsid w:val="004365AA"/>
    <w:rsid w:val="004501D5"/>
    <w:rsid w:val="0048550C"/>
    <w:rsid w:val="00485DFC"/>
    <w:rsid w:val="00490A3F"/>
    <w:rsid w:val="00493E89"/>
    <w:rsid w:val="004959D3"/>
    <w:rsid w:val="00497021"/>
    <w:rsid w:val="004A16B1"/>
    <w:rsid w:val="004A3831"/>
    <w:rsid w:val="004A4ADE"/>
    <w:rsid w:val="004A5CEF"/>
    <w:rsid w:val="004A6F7B"/>
    <w:rsid w:val="004B01F0"/>
    <w:rsid w:val="004B2FEF"/>
    <w:rsid w:val="004C5856"/>
    <w:rsid w:val="004C5E5F"/>
    <w:rsid w:val="004D1C51"/>
    <w:rsid w:val="004D794F"/>
    <w:rsid w:val="004F0D3D"/>
    <w:rsid w:val="004F1F63"/>
    <w:rsid w:val="004F58F9"/>
    <w:rsid w:val="004F63E0"/>
    <w:rsid w:val="00506FE4"/>
    <w:rsid w:val="005118BA"/>
    <w:rsid w:val="00514AEE"/>
    <w:rsid w:val="0051635E"/>
    <w:rsid w:val="00536D83"/>
    <w:rsid w:val="00537CAB"/>
    <w:rsid w:val="00561879"/>
    <w:rsid w:val="005768E9"/>
    <w:rsid w:val="005838BB"/>
    <w:rsid w:val="00594AC0"/>
    <w:rsid w:val="005A1027"/>
    <w:rsid w:val="005A2744"/>
    <w:rsid w:val="005C5919"/>
    <w:rsid w:val="005F4F65"/>
    <w:rsid w:val="005F75EF"/>
    <w:rsid w:val="00610D22"/>
    <w:rsid w:val="006169C1"/>
    <w:rsid w:val="00621756"/>
    <w:rsid w:val="00631614"/>
    <w:rsid w:val="00634299"/>
    <w:rsid w:val="006740C5"/>
    <w:rsid w:val="006A25C4"/>
    <w:rsid w:val="006B70CC"/>
    <w:rsid w:val="006D27B4"/>
    <w:rsid w:val="006F47EE"/>
    <w:rsid w:val="006F4C86"/>
    <w:rsid w:val="00700205"/>
    <w:rsid w:val="0070145E"/>
    <w:rsid w:val="0070386B"/>
    <w:rsid w:val="00715EDC"/>
    <w:rsid w:val="007253FB"/>
    <w:rsid w:val="007353C6"/>
    <w:rsid w:val="00741459"/>
    <w:rsid w:val="00750A6D"/>
    <w:rsid w:val="007567DF"/>
    <w:rsid w:val="0075763B"/>
    <w:rsid w:val="00765E65"/>
    <w:rsid w:val="0077000B"/>
    <w:rsid w:val="00776D12"/>
    <w:rsid w:val="00783D77"/>
    <w:rsid w:val="00796962"/>
    <w:rsid w:val="007A7310"/>
    <w:rsid w:val="007D5110"/>
    <w:rsid w:val="007E1DAB"/>
    <w:rsid w:val="007F2FF7"/>
    <w:rsid w:val="008018C7"/>
    <w:rsid w:val="00815F8C"/>
    <w:rsid w:val="0081720C"/>
    <w:rsid w:val="00822769"/>
    <w:rsid w:val="00822E8A"/>
    <w:rsid w:val="00827DF6"/>
    <w:rsid w:val="0083065E"/>
    <w:rsid w:val="008554FE"/>
    <w:rsid w:val="00860725"/>
    <w:rsid w:val="0086380B"/>
    <w:rsid w:val="00880B53"/>
    <w:rsid w:val="008931F7"/>
    <w:rsid w:val="008966E7"/>
    <w:rsid w:val="008B591E"/>
    <w:rsid w:val="008C5498"/>
    <w:rsid w:val="008C6867"/>
    <w:rsid w:val="008F239D"/>
    <w:rsid w:val="008F5464"/>
    <w:rsid w:val="00910AB1"/>
    <w:rsid w:val="009178EE"/>
    <w:rsid w:val="00920668"/>
    <w:rsid w:val="00926381"/>
    <w:rsid w:val="00927E7E"/>
    <w:rsid w:val="00954B1D"/>
    <w:rsid w:val="00961EB3"/>
    <w:rsid w:val="00965C0E"/>
    <w:rsid w:val="00983287"/>
    <w:rsid w:val="00995DE3"/>
    <w:rsid w:val="009B3DF5"/>
    <w:rsid w:val="009C3039"/>
    <w:rsid w:val="009E094D"/>
    <w:rsid w:val="00A027BB"/>
    <w:rsid w:val="00A03320"/>
    <w:rsid w:val="00A66659"/>
    <w:rsid w:val="00A73991"/>
    <w:rsid w:val="00A92738"/>
    <w:rsid w:val="00AB23DD"/>
    <w:rsid w:val="00AB7347"/>
    <w:rsid w:val="00AC0DB6"/>
    <w:rsid w:val="00AC0F01"/>
    <w:rsid w:val="00AD0504"/>
    <w:rsid w:val="00AD1C4A"/>
    <w:rsid w:val="00AE1E18"/>
    <w:rsid w:val="00B04B9F"/>
    <w:rsid w:val="00B0632A"/>
    <w:rsid w:val="00B132E3"/>
    <w:rsid w:val="00B23FA0"/>
    <w:rsid w:val="00B2608E"/>
    <w:rsid w:val="00B3440C"/>
    <w:rsid w:val="00B54E38"/>
    <w:rsid w:val="00B61184"/>
    <w:rsid w:val="00B61457"/>
    <w:rsid w:val="00B77918"/>
    <w:rsid w:val="00B851E6"/>
    <w:rsid w:val="00B853D9"/>
    <w:rsid w:val="00BB06C1"/>
    <w:rsid w:val="00BB1C7F"/>
    <w:rsid w:val="00BB6D79"/>
    <w:rsid w:val="00BD53B5"/>
    <w:rsid w:val="00BE0170"/>
    <w:rsid w:val="00BE20AC"/>
    <w:rsid w:val="00C00819"/>
    <w:rsid w:val="00C13AC1"/>
    <w:rsid w:val="00C26709"/>
    <w:rsid w:val="00C311C9"/>
    <w:rsid w:val="00C32491"/>
    <w:rsid w:val="00C3741E"/>
    <w:rsid w:val="00C405A3"/>
    <w:rsid w:val="00C40967"/>
    <w:rsid w:val="00C473A7"/>
    <w:rsid w:val="00C57D46"/>
    <w:rsid w:val="00C641B8"/>
    <w:rsid w:val="00C64439"/>
    <w:rsid w:val="00C73001"/>
    <w:rsid w:val="00C8344A"/>
    <w:rsid w:val="00CB3ED6"/>
    <w:rsid w:val="00CD42B7"/>
    <w:rsid w:val="00CF08EC"/>
    <w:rsid w:val="00CF3176"/>
    <w:rsid w:val="00CF54C5"/>
    <w:rsid w:val="00D01D8D"/>
    <w:rsid w:val="00D02336"/>
    <w:rsid w:val="00D03F99"/>
    <w:rsid w:val="00D07AE1"/>
    <w:rsid w:val="00D175F1"/>
    <w:rsid w:val="00D2431F"/>
    <w:rsid w:val="00D31FC3"/>
    <w:rsid w:val="00D45C70"/>
    <w:rsid w:val="00D464C2"/>
    <w:rsid w:val="00D57852"/>
    <w:rsid w:val="00D63B51"/>
    <w:rsid w:val="00D77FED"/>
    <w:rsid w:val="00D81AC1"/>
    <w:rsid w:val="00D95E9A"/>
    <w:rsid w:val="00D96515"/>
    <w:rsid w:val="00DA1E71"/>
    <w:rsid w:val="00DC2ED2"/>
    <w:rsid w:val="00DC36B3"/>
    <w:rsid w:val="00DD3689"/>
    <w:rsid w:val="00DD5584"/>
    <w:rsid w:val="00DE2B9D"/>
    <w:rsid w:val="00DF62B5"/>
    <w:rsid w:val="00E12D28"/>
    <w:rsid w:val="00E12D30"/>
    <w:rsid w:val="00E14818"/>
    <w:rsid w:val="00E16F90"/>
    <w:rsid w:val="00E2109E"/>
    <w:rsid w:val="00E26A05"/>
    <w:rsid w:val="00E41199"/>
    <w:rsid w:val="00E4363F"/>
    <w:rsid w:val="00E51F42"/>
    <w:rsid w:val="00E5489F"/>
    <w:rsid w:val="00E548C8"/>
    <w:rsid w:val="00E54A48"/>
    <w:rsid w:val="00E553E8"/>
    <w:rsid w:val="00E56715"/>
    <w:rsid w:val="00E72060"/>
    <w:rsid w:val="00E77840"/>
    <w:rsid w:val="00E82065"/>
    <w:rsid w:val="00E841EF"/>
    <w:rsid w:val="00E92090"/>
    <w:rsid w:val="00E97572"/>
    <w:rsid w:val="00EA7AF0"/>
    <w:rsid w:val="00EB6C64"/>
    <w:rsid w:val="00EE23BF"/>
    <w:rsid w:val="00EE2EC0"/>
    <w:rsid w:val="00EE39AB"/>
    <w:rsid w:val="00EF128D"/>
    <w:rsid w:val="00EF66FA"/>
    <w:rsid w:val="00EF7FC1"/>
    <w:rsid w:val="00F14AE3"/>
    <w:rsid w:val="00F339BC"/>
    <w:rsid w:val="00F44B98"/>
    <w:rsid w:val="00F44CCA"/>
    <w:rsid w:val="00F54CE1"/>
    <w:rsid w:val="00F60FEB"/>
    <w:rsid w:val="00F70B5B"/>
    <w:rsid w:val="00F74B90"/>
    <w:rsid w:val="00F8228F"/>
    <w:rsid w:val="00F938E4"/>
    <w:rsid w:val="00FB3DBC"/>
    <w:rsid w:val="00FC7D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12AE9B"/>
  <w15:docId w15:val="{73194986-3A4D-40DE-95E4-051094484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s-CO" w:bidi="ar-SA"/>
      </w:rPr>
    </w:rPrDefault>
    <w:pPrDefault>
      <w:pPr>
        <w:keepLines/>
        <w:spacing w:after="24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autoRedefine/>
    <w:uiPriority w:val="9"/>
    <w:qFormat/>
    <w:rsid w:val="00BD53B5"/>
    <w:pPr>
      <w:keepNext/>
      <w:numPr>
        <w:numId w:val="5"/>
      </w:numPr>
      <w:spacing w:before="480" w:after="0" w:line="264" w:lineRule="auto"/>
      <w:outlineLvl w:val="0"/>
    </w:pPr>
    <w:rPr>
      <w:rFonts w:ascii="Century Gothic" w:hAnsi="Century Gothic"/>
      <w:color w:val="033A44"/>
      <w:sz w:val="28"/>
      <w:szCs w:val="36"/>
    </w:rPr>
  </w:style>
  <w:style w:type="paragraph" w:styleId="Heading2">
    <w:name w:val="heading 2"/>
    <w:basedOn w:val="Normal"/>
    <w:next w:val="Normal"/>
    <w:uiPriority w:val="9"/>
    <w:unhideWhenUsed/>
    <w:qFormat/>
    <w:rsid w:val="002E7ECE"/>
    <w:pPr>
      <w:keepNext/>
      <w:numPr>
        <w:ilvl w:val="1"/>
        <w:numId w:val="5"/>
      </w:numPr>
      <w:spacing w:before="360" w:after="0" w:line="264" w:lineRule="auto"/>
      <w:outlineLvl w:val="1"/>
    </w:pPr>
    <w:rPr>
      <w:rFonts w:ascii="Century Gothic" w:hAnsi="Century Gothic"/>
      <w:color w:val="033A44"/>
      <w:sz w:val="24"/>
      <w:szCs w:val="28"/>
    </w:rPr>
  </w:style>
  <w:style w:type="paragraph" w:styleId="Heading3">
    <w:name w:val="heading 3"/>
    <w:basedOn w:val="Normal"/>
    <w:next w:val="Normal"/>
    <w:uiPriority w:val="9"/>
    <w:unhideWhenUsed/>
    <w:qFormat/>
    <w:rsid w:val="00E5489F"/>
    <w:pPr>
      <w:keepNext/>
      <w:numPr>
        <w:ilvl w:val="2"/>
        <w:numId w:val="5"/>
      </w:numPr>
      <w:spacing w:before="40" w:after="0"/>
      <w:outlineLvl w:val="2"/>
    </w:pPr>
    <w:rPr>
      <w:rFonts w:ascii="Century Gothic" w:hAnsi="Century Gothic"/>
      <w:color w:val="44546A" w:themeColor="text2"/>
      <w:szCs w:val="24"/>
    </w:rPr>
  </w:style>
  <w:style w:type="paragraph" w:styleId="Heading4">
    <w:name w:val="heading 4"/>
    <w:basedOn w:val="Normal"/>
    <w:next w:val="Normal"/>
    <w:uiPriority w:val="9"/>
    <w:semiHidden/>
    <w:unhideWhenUsed/>
    <w:qFormat/>
    <w:pPr>
      <w:keepNext/>
      <w:numPr>
        <w:ilvl w:val="3"/>
        <w:numId w:val="5"/>
      </w:numPr>
      <w:spacing w:before="40" w:after="0"/>
      <w:outlineLvl w:val="3"/>
    </w:pPr>
    <w:rPr>
      <w:i/>
      <w:iCs/>
      <w:color w:val="2F5496"/>
    </w:rPr>
  </w:style>
  <w:style w:type="paragraph" w:styleId="Heading5">
    <w:name w:val="heading 5"/>
    <w:basedOn w:val="Normal"/>
    <w:next w:val="Normal"/>
    <w:uiPriority w:val="9"/>
    <w:semiHidden/>
    <w:unhideWhenUsed/>
    <w:qFormat/>
    <w:pPr>
      <w:keepNext/>
      <w:numPr>
        <w:ilvl w:val="4"/>
        <w:numId w:val="5"/>
      </w:numPr>
      <w:spacing w:before="40" w:after="0"/>
      <w:outlineLvl w:val="4"/>
    </w:pPr>
    <w:rPr>
      <w:color w:val="2F5496"/>
    </w:rPr>
  </w:style>
  <w:style w:type="paragraph" w:styleId="Heading6">
    <w:name w:val="heading 6"/>
    <w:basedOn w:val="Normal"/>
    <w:next w:val="Normal"/>
    <w:uiPriority w:val="9"/>
    <w:semiHidden/>
    <w:unhideWhenUsed/>
    <w:qFormat/>
    <w:pPr>
      <w:keepNext/>
      <w:numPr>
        <w:ilvl w:val="5"/>
        <w:numId w:val="5"/>
      </w:numPr>
      <w:spacing w:before="40" w:after="0"/>
      <w:outlineLvl w:val="5"/>
    </w:pPr>
    <w:rPr>
      <w:color w:val="1F3863"/>
    </w:rPr>
  </w:style>
  <w:style w:type="paragraph" w:styleId="Heading7">
    <w:name w:val="heading 7"/>
    <w:basedOn w:val="Normal"/>
    <w:next w:val="Normal"/>
    <w:link w:val="Heading7Char"/>
    <w:uiPriority w:val="9"/>
    <w:semiHidden/>
    <w:unhideWhenUsed/>
    <w:qFormat/>
    <w:rsid w:val="00E5033F"/>
    <w:pPr>
      <w:keepNext/>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5033F"/>
    <w:pPr>
      <w:keepNext/>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5033F"/>
    <w:pPr>
      <w:keepNext/>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360" w:line="264" w:lineRule="auto"/>
    </w:pPr>
    <w:rPr>
      <w:sz w:val="56"/>
      <w:szCs w:val="56"/>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ind w:left="720"/>
      <w:contextualSpacing/>
    </w:pPr>
  </w:style>
  <w:style w:type="character" w:customStyle="1" w:styleId="Ttulo1Car">
    <w:name w:val="Título 1 Car"/>
    <w:basedOn w:val="DefaultParagraphFont"/>
    <w:uiPriority w:val="9"/>
    <w:rsid w:val="001B3490"/>
    <w:rPr>
      <w:rFonts w:asciiTheme="majorHAnsi" w:eastAsiaTheme="majorEastAsia" w:hAnsiTheme="majorHAnsi" w:cstheme="majorBidi"/>
      <w:color w:val="2F5496" w:themeColor="accent1" w:themeShade="BF"/>
      <w:sz w:val="36"/>
      <w:szCs w:val="36"/>
    </w:rPr>
  </w:style>
  <w:style w:type="character" w:customStyle="1" w:styleId="Ttulo2Car">
    <w:name w:val="Título 2 Car"/>
    <w:basedOn w:val="DefaultParagraphFont"/>
    <w:uiPriority w:val="9"/>
    <w:rsid w:val="00A72986"/>
    <w:rPr>
      <w:rFonts w:asciiTheme="majorHAnsi" w:eastAsiaTheme="majorEastAsia" w:hAnsiTheme="majorHAnsi" w:cstheme="majorBidi"/>
      <w:color w:val="2F5496" w:themeColor="accent1" w:themeShade="BF"/>
      <w:sz w:val="28"/>
      <w:szCs w:val="28"/>
    </w:rPr>
  </w:style>
  <w:style w:type="character" w:customStyle="1" w:styleId="Ttulo3Car">
    <w:name w:val="Título 3 Car"/>
    <w:basedOn w:val="DefaultParagraphFont"/>
    <w:uiPriority w:val="9"/>
    <w:semiHidden/>
    <w:rsid w:val="00E5033F"/>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DefaultParagraphFont"/>
    <w:uiPriority w:val="9"/>
    <w:semiHidden/>
    <w:rsid w:val="00E5033F"/>
    <w:rPr>
      <w:rFonts w:asciiTheme="majorHAnsi" w:eastAsiaTheme="majorEastAsia" w:hAnsiTheme="majorHAnsi" w:cstheme="majorBidi"/>
      <w:i/>
      <w:iCs/>
      <w:color w:val="2F5496" w:themeColor="accent1" w:themeShade="BF"/>
    </w:rPr>
  </w:style>
  <w:style w:type="character" w:customStyle="1" w:styleId="Ttulo5Car">
    <w:name w:val="Título 5 Car"/>
    <w:basedOn w:val="DefaultParagraphFont"/>
    <w:uiPriority w:val="9"/>
    <w:semiHidden/>
    <w:rsid w:val="00E5033F"/>
    <w:rPr>
      <w:rFonts w:asciiTheme="majorHAnsi" w:eastAsiaTheme="majorEastAsia" w:hAnsiTheme="majorHAnsi" w:cstheme="majorBidi"/>
      <w:color w:val="2F5496" w:themeColor="accent1" w:themeShade="BF"/>
    </w:rPr>
  </w:style>
  <w:style w:type="character" w:customStyle="1" w:styleId="Ttulo6Car">
    <w:name w:val="Título 6 Car"/>
    <w:basedOn w:val="DefaultParagraphFont"/>
    <w:uiPriority w:val="9"/>
    <w:semiHidden/>
    <w:rsid w:val="00E5033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5033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5033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5033F"/>
    <w:rPr>
      <w:rFonts w:asciiTheme="majorHAnsi" w:eastAsiaTheme="majorEastAsia" w:hAnsiTheme="majorHAnsi" w:cstheme="majorBidi"/>
      <w:i/>
      <w:iCs/>
      <w:color w:val="272727" w:themeColor="text1" w:themeTint="D8"/>
      <w:sz w:val="21"/>
      <w:szCs w:val="21"/>
    </w:rPr>
  </w:style>
  <w:style w:type="paragraph" w:styleId="TOCHeading">
    <w:name w:val="TOC Heading"/>
    <w:next w:val="Normal"/>
    <w:uiPriority w:val="39"/>
    <w:unhideWhenUsed/>
    <w:qFormat/>
    <w:rsid w:val="00E5033F"/>
    <w:rPr>
      <w:lang w:eastAsia="en-GB"/>
    </w:rPr>
  </w:style>
  <w:style w:type="paragraph" w:styleId="TOC1">
    <w:name w:val="toc 1"/>
    <w:basedOn w:val="Normal"/>
    <w:next w:val="Normal"/>
    <w:autoRedefine/>
    <w:uiPriority w:val="39"/>
    <w:unhideWhenUsed/>
    <w:rsid w:val="008F32B7"/>
    <w:pPr>
      <w:tabs>
        <w:tab w:val="left" w:pos="440"/>
        <w:tab w:val="right" w:leader="dot" w:pos="9350"/>
      </w:tabs>
      <w:spacing w:before="240" w:after="40" w:line="264" w:lineRule="auto"/>
    </w:pPr>
  </w:style>
  <w:style w:type="paragraph" w:styleId="TOC2">
    <w:name w:val="toc 2"/>
    <w:basedOn w:val="Normal"/>
    <w:next w:val="Normal"/>
    <w:autoRedefine/>
    <w:uiPriority w:val="39"/>
    <w:unhideWhenUsed/>
    <w:rsid w:val="008F32B7"/>
    <w:pPr>
      <w:spacing w:before="60" w:after="60" w:line="264" w:lineRule="auto"/>
      <w:ind w:left="221"/>
    </w:pPr>
  </w:style>
  <w:style w:type="character" w:styleId="Hyperlink">
    <w:name w:val="Hyperlink"/>
    <w:basedOn w:val="DefaultParagraphFont"/>
    <w:uiPriority w:val="99"/>
    <w:unhideWhenUsed/>
    <w:rsid w:val="00E5033F"/>
    <w:rPr>
      <w:color w:val="0563C1" w:themeColor="hyperlink"/>
      <w:u w:val="single"/>
    </w:rPr>
  </w:style>
  <w:style w:type="paragraph" w:styleId="Header">
    <w:name w:val="header"/>
    <w:basedOn w:val="Normal"/>
    <w:link w:val="HeaderChar"/>
    <w:uiPriority w:val="99"/>
    <w:unhideWhenUsed/>
    <w:rsid w:val="006E6CF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6CFB"/>
  </w:style>
  <w:style w:type="paragraph" w:styleId="Footer">
    <w:name w:val="footer"/>
    <w:basedOn w:val="Normal"/>
    <w:link w:val="FooterChar"/>
    <w:uiPriority w:val="99"/>
    <w:unhideWhenUsed/>
    <w:rsid w:val="006E6CF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6CFB"/>
  </w:style>
  <w:style w:type="table" w:styleId="GridTable4-Accent3">
    <w:name w:val="Grid Table 4 Accent 3"/>
    <w:basedOn w:val="TableNormal"/>
    <w:uiPriority w:val="49"/>
    <w:rsid w:val="00A377D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7Colourful">
    <w:name w:val="Grid Table 7 Colorful"/>
    <w:basedOn w:val="TableNormal"/>
    <w:uiPriority w:val="52"/>
    <w:rsid w:val="00A377D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FE2CE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E2CE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FE2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Caption">
    <w:name w:val="caption"/>
    <w:basedOn w:val="Normal"/>
    <w:next w:val="Normal"/>
    <w:uiPriority w:val="35"/>
    <w:unhideWhenUsed/>
    <w:qFormat/>
    <w:rsid w:val="008F32B7"/>
    <w:pPr>
      <w:spacing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031B53"/>
    <w:rPr>
      <w:color w:val="605E5C"/>
      <w:shd w:val="clear" w:color="auto" w:fill="E1DFDD"/>
    </w:rPr>
  </w:style>
  <w:style w:type="character" w:styleId="CommentReference">
    <w:name w:val="annotation reference"/>
    <w:basedOn w:val="DefaultParagraphFont"/>
    <w:unhideWhenUsed/>
    <w:rsid w:val="00CE2A18"/>
    <w:rPr>
      <w:sz w:val="16"/>
      <w:szCs w:val="16"/>
    </w:rPr>
  </w:style>
  <w:style w:type="paragraph" w:styleId="CommentText">
    <w:name w:val="annotation text"/>
    <w:basedOn w:val="Normal"/>
    <w:link w:val="CommentTextChar"/>
    <w:uiPriority w:val="99"/>
    <w:unhideWhenUsed/>
    <w:rsid w:val="00CE2A18"/>
    <w:pPr>
      <w:spacing w:line="240" w:lineRule="auto"/>
    </w:pPr>
    <w:rPr>
      <w:sz w:val="20"/>
      <w:szCs w:val="20"/>
    </w:rPr>
  </w:style>
  <w:style w:type="character" w:customStyle="1" w:styleId="CommentTextChar">
    <w:name w:val="Comment Text Char"/>
    <w:basedOn w:val="DefaultParagraphFont"/>
    <w:link w:val="CommentText"/>
    <w:uiPriority w:val="99"/>
    <w:rsid w:val="00CE2A18"/>
    <w:rPr>
      <w:sz w:val="20"/>
      <w:szCs w:val="20"/>
    </w:rPr>
  </w:style>
  <w:style w:type="paragraph" w:styleId="CommentSubject">
    <w:name w:val="annotation subject"/>
    <w:basedOn w:val="CommentText"/>
    <w:next w:val="CommentText"/>
    <w:link w:val="CommentSubjectChar"/>
    <w:uiPriority w:val="99"/>
    <w:semiHidden/>
    <w:unhideWhenUsed/>
    <w:rsid w:val="00CE2A18"/>
    <w:rPr>
      <w:b/>
      <w:bCs/>
    </w:rPr>
  </w:style>
  <w:style w:type="character" w:customStyle="1" w:styleId="CommentSubjectChar">
    <w:name w:val="Comment Subject Char"/>
    <w:basedOn w:val="CommentTextChar"/>
    <w:link w:val="CommentSubject"/>
    <w:uiPriority w:val="99"/>
    <w:semiHidden/>
    <w:rsid w:val="00CE2A18"/>
    <w:rPr>
      <w:b/>
      <w:bCs/>
      <w:sz w:val="20"/>
      <w:szCs w:val="20"/>
    </w:rPr>
  </w:style>
  <w:style w:type="paragraph" w:customStyle="1" w:styleId="Captionabove">
    <w:name w:val="Caption_above"/>
    <w:basedOn w:val="Caption"/>
    <w:qFormat/>
    <w:rsid w:val="008F32B7"/>
    <w:pPr>
      <w:keepNext/>
      <w:spacing w:before="360" w:after="60"/>
    </w:pPr>
    <w:rPr>
      <w:i w:val="0"/>
      <w:iCs w:val="0"/>
      <w:color w:val="000000" w:themeColor="text1"/>
      <w:sz w:val="20"/>
      <w:szCs w:val="20"/>
    </w:rPr>
  </w:style>
  <w:style w:type="character" w:customStyle="1" w:styleId="TtuloCar">
    <w:name w:val="Título Car"/>
    <w:basedOn w:val="DefaultParagraphFont"/>
    <w:uiPriority w:val="10"/>
    <w:rsid w:val="00563A72"/>
    <w:rPr>
      <w:rFonts w:asciiTheme="majorHAnsi" w:eastAsiaTheme="majorEastAsia" w:hAnsiTheme="majorHAnsi" w:cstheme="majorBidi"/>
      <w:spacing w:val="-10"/>
      <w:kern w:val="28"/>
      <w:sz w:val="56"/>
      <w:szCs w:val="56"/>
    </w:rPr>
  </w:style>
  <w:style w:type="paragraph" w:styleId="Revision">
    <w:name w:val="Revision"/>
    <w:hidden/>
    <w:uiPriority w:val="99"/>
    <w:semiHidden/>
    <w:rsid w:val="00190CA3"/>
    <w:pPr>
      <w:spacing w:after="0" w:line="240" w:lineRule="auto"/>
    </w:pPr>
  </w:style>
  <w:style w:type="character" w:customStyle="1" w:styleId="cf01">
    <w:name w:val="cf01"/>
    <w:basedOn w:val="DefaultParagraphFont"/>
    <w:rsid w:val="00D94D27"/>
    <w:rPr>
      <w:rFonts w:ascii="Segoe UI" w:hAnsi="Segoe UI" w:cs="Segoe UI" w:hint="default"/>
      <w:sz w:val="18"/>
      <w:szCs w:val="18"/>
    </w:rPr>
  </w:style>
  <w:style w:type="paragraph" w:customStyle="1" w:styleId="pf0">
    <w:name w:val="pf0"/>
    <w:basedOn w:val="Normal"/>
    <w:rsid w:val="006A36EE"/>
    <w:pPr>
      <w:keepLines w:val="0"/>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itle">
    <w:name w:val="Subtitle"/>
    <w:basedOn w:val="Normal"/>
    <w:next w:val="Normal"/>
    <w:uiPriority w:val="11"/>
    <w:qFormat/>
    <w:pPr>
      <w:keepNext/>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PlaceholderText">
    <w:name w:val="Placeholder Text"/>
    <w:basedOn w:val="DefaultParagraphFont"/>
    <w:uiPriority w:val="99"/>
    <w:semiHidden/>
    <w:rsid w:val="00A0332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940511">
      <w:bodyDiv w:val="1"/>
      <w:marLeft w:val="0"/>
      <w:marRight w:val="0"/>
      <w:marTop w:val="0"/>
      <w:marBottom w:val="0"/>
      <w:divBdr>
        <w:top w:val="none" w:sz="0" w:space="0" w:color="auto"/>
        <w:left w:val="none" w:sz="0" w:space="0" w:color="auto"/>
        <w:bottom w:val="none" w:sz="0" w:space="0" w:color="auto"/>
        <w:right w:val="none" w:sz="0" w:space="0" w:color="auto"/>
      </w:divBdr>
    </w:div>
    <w:div w:id="18529096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doi.org/10.5285/c7ce1610-aba3-4a09-bf7c-1b6c774d597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CiN+uUd8bCDoiIKlYvGOM1zxtw==">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</go:docsCustomData>
</go:gDocsCustomXmlDataStorage>
</file>

<file path=customXml/itemProps1.xml><?xml version="1.0" encoding="utf-8"?>
<ds:datastoreItem xmlns:ds="http://schemas.openxmlformats.org/officeDocument/2006/customXml" ds:itemID="{B20DE4E2-7071-4242-A4BC-A224F681439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6</Pages>
  <Words>1707</Words>
  <Characters>9731</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Roebuck</dc:creator>
  <cp:lastModifiedBy>Glenn Rhodes</cp:lastModifiedBy>
  <cp:revision>14</cp:revision>
  <dcterms:created xsi:type="dcterms:W3CDTF">2026-05-28T18:39:00Z</dcterms:created>
  <dcterms:modified xsi:type="dcterms:W3CDTF">2026-06-03T12:24:00Z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0x0101002326498E1E8AD24FBC9398E224DA0000</vt:lpwstr>
  </property>
  <property fmtid="{D5CDD505-2E9C-101B-9397-08002B2CF9AE}" pid="3" name="MediaServiceImageTags">
    <vt:lpwstr/>
  </property>
  <property fmtid="{D5CDD505-2E9C-101B-9397-08002B2CF9AE}" pid="4" name="Mendeley Recent Style Id 0_1">
    <vt:lpwstr>http://www.zotero.org/styles/american-political-science-association</vt:lpwstr>
  </property>
  <property fmtid="{D5CDD505-2E9C-101B-9397-08002B2CF9AE}" pid="5" name="Mendeley Recent Style Name 0_1">
    <vt:lpwstr>American Political Science Association</vt:lpwstr>
  </property>
  <property fmtid="{D5CDD505-2E9C-101B-9397-08002B2CF9AE}" pid="6" name="Mendeley Recent Style Id 1_1">
    <vt:lpwstr>http://csl.mendeley.com/styles/30170371/apa</vt:lpwstr>
  </property>
  <property fmtid="{D5CDD505-2E9C-101B-9397-08002B2CF9AE}" pid="7" name="Mendeley Recent Style Name 1_1">
    <vt:lpwstr>American Psychological Association 7th edition - Zorayda Restrepo</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 6th/7th edition</vt:lpwstr>
  </property>
  <property fmtid="{D5CDD505-2E9C-101B-9397-08002B2CF9AE}" pid="10" name="Mendeley Recent Style Id 3_1">
    <vt:lpwstr>http://www.zotero.org/styles/chicago-author-date</vt:lpwstr>
  </property>
  <property fmtid="{D5CDD505-2E9C-101B-9397-08002B2CF9AE}" pid="11" name="Mendeley Recent Style Name 3_1">
    <vt:lpwstr>Chicago Manual of Style 17th edition (author-date)</vt:lpwstr>
  </property>
  <property fmtid="{D5CDD505-2E9C-101B-9397-08002B2CF9AE}" pid="12" name="Mendeley Recent Style Id 4_1">
    <vt:lpwstr>http://www.zotero.org/styles/harvard-cite-them-right</vt:lpwstr>
  </property>
  <property fmtid="{D5CDD505-2E9C-101B-9397-08002B2CF9AE}" pid="13" name="Mendeley Recent Style Name 4_1">
    <vt:lpwstr>Cite Them Right 12th edition - Harvard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4th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9th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http://www.zotero.org/styles/nature-communications</vt:lpwstr>
  </property>
  <property fmtid="{D5CDD505-2E9C-101B-9397-08002B2CF9AE}" pid="23" name="Mendeley Recent Style Name 9_1">
    <vt:lpwstr>Nature Communications</vt:lpwstr>
  </property>
  <property fmtid="{D5CDD505-2E9C-101B-9397-08002B2CF9AE}" pid="24" name="Mendeley Document_1">
    <vt:lpwstr>True</vt:lpwstr>
  </property>
  <property fmtid="{D5CDD505-2E9C-101B-9397-08002B2CF9AE}" pid="25" name="Mendeley Unique User Id_1">
    <vt:lpwstr>8f8485ed-2a0f-390b-81c0-2a2b8434c8a0</vt:lpwstr>
  </property>
  <property fmtid="{D5CDD505-2E9C-101B-9397-08002B2CF9AE}" pid="26" name="Mendeley Citation Style_1">
    <vt:lpwstr>http://csl.mendeley.com/styles/30170371/apa</vt:lpwstr>
  </property>
</Properties>
</file>