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0F288" w14:textId="3A2C7B27" w:rsidR="003F3144" w:rsidRDefault="006E5DDE">
      <w:pPr>
        <w:rPr>
          <w:rFonts w:asciiTheme="majorHAnsi" w:eastAsiaTheme="majorEastAsia" w:hAnsiTheme="majorHAnsi" w:cstheme="majorBidi"/>
          <w:color w:val="0F4761" w:themeColor="accent1" w:themeShade="BF"/>
          <w:sz w:val="40"/>
          <w:szCs w:val="40"/>
        </w:rPr>
      </w:pPr>
      <w:r>
        <w:rPr>
          <w:rFonts w:asciiTheme="majorHAnsi" w:eastAsiaTheme="majorEastAsia" w:hAnsiTheme="majorHAnsi" w:cstheme="majorBidi"/>
          <w:color w:val="0F4761" w:themeColor="accent1" w:themeShade="BF"/>
          <w:sz w:val="40"/>
          <w:szCs w:val="40"/>
        </w:rPr>
        <w:t>D</w:t>
      </w:r>
      <w:r w:rsidR="007D1450" w:rsidRPr="007D1450">
        <w:rPr>
          <w:rFonts w:asciiTheme="majorHAnsi" w:eastAsiaTheme="majorEastAsia" w:hAnsiTheme="majorHAnsi" w:cstheme="majorBidi"/>
          <w:color w:val="0F4761" w:themeColor="accent1" w:themeShade="BF"/>
          <w:sz w:val="40"/>
          <w:szCs w:val="40"/>
        </w:rPr>
        <w:t xml:space="preserve">enitrification rates </w:t>
      </w:r>
      <w:r>
        <w:rPr>
          <w:rFonts w:asciiTheme="majorHAnsi" w:eastAsiaTheme="majorEastAsia" w:hAnsiTheme="majorHAnsi" w:cstheme="majorBidi"/>
          <w:color w:val="0F4761" w:themeColor="accent1" w:themeShade="BF"/>
          <w:sz w:val="40"/>
          <w:szCs w:val="40"/>
        </w:rPr>
        <w:t>in</w:t>
      </w:r>
      <w:r w:rsidR="007D1450" w:rsidRPr="007D1450">
        <w:rPr>
          <w:rFonts w:asciiTheme="majorHAnsi" w:eastAsiaTheme="majorEastAsia" w:hAnsiTheme="majorHAnsi" w:cstheme="majorBidi"/>
          <w:color w:val="0F4761" w:themeColor="accent1" w:themeShade="BF"/>
          <w:sz w:val="40"/>
          <w:szCs w:val="40"/>
        </w:rPr>
        <w:t xml:space="preserve"> seagrasses and mudflats</w:t>
      </w:r>
      <w:r>
        <w:rPr>
          <w:rFonts w:asciiTheme="majorHAnsi" w:eastAsiaTheme="majorEastAsia" w:hAnsiTheme="majorHAnsi" w:cstheme="majorBidi"/>
          <w:color w:val="0F4761" w:themeColor="accent1" w:themeShade="BF"/>
          <w:sz w:val="40"/>
          <w:szCs w:val="40"/>
        </w:rPr>
        <w:t xml:space="preserve"> at six coastal sites in England</w:t>
      </w:r>
      <w:r w:rsidR="007D1450" w:rsidRPr="007D1450">
        <w:rPr>
          <w:rFonts w:asciiTheme="majorHAnsi" w:eastAsiaTheme="majorEastAsia" w:hAnsiTheme="majorHAnsi" w:cstheme="majorBidi"/>
          <w:color w:val="0F4761" w:themeColor="accent1" w:themeShade="BF"/>
          <w:sz w:val="40"/>
          <w:szCs w:val="40"/>
        </w:rPr>
        <w:t>. Dec2024 - Feb2025</w:t>
      </w:r>
    </w:p>
    <w:p w14:paraId="2494570D" w14:textId="625FF592" w:rsidR="00442252" w:rsidRDefault="002C4291" w:rsidP="002C4291">
      <w:r w:rsidRPr="002C4291">
        <w:t xml:space="preserve">Author(s): Michael P. Perring*, UK Centre for Ecology and Hydrology (UKCEH); Dan Aberg*, Bangor University (BU); Paula Maria de la Barra UKCEH; Sophie Marshall-Potter, BU; Tree Oswald, BU; Lucy McMahon, Manchester Metropolitan University (MMU); Hannah Mossman, MMU; Joanna Harley, UKCEH; John Spill, UKCEH; Simon Oakley, UKCEH; Victor </w:t>
      </w:r>
      <w:proofErr w:type="spellStart"/>
      <w:r w:rsidRPr="002C4291">
        <w:t>Ebuele</w:t>
      </w:r>
      <w:proofErr w:type="spellEnd"/>
      <w:r w:rsidRPr="002C4291">
        <w:t xml:space="preserve">, UKCEH; Inma Lebron, UKCEH; Susan Tandy, UKCEH; Annette Burden, UKCEH; Christian Dunn, BU; Angus Garbutt, UKCEH. </w:t>
      </w:r>
    </w:p>
    <w:p w14:paraId="0ECCEF70" w14:textId="671F8D5D" w:rsidR="00DC5922" w:rsidRDefault="00DC5922" w:rsidP="002C4291">
      <w:r w:rsidRPr="00DC5922">
        <w:t>*: Joint first authors</w:t>
      </w:r>
    </w:p>
    <w:p w14:paraId="3813481E" w14:textId="77777777" w:rsidR="00435C02" w:rsidRDefault="00435C02"/>
    <w:p w14:paraId="6CE13E6B" w14:textId="4DAC9ED3" w:rsidR="003F3144" w:rsidRDefault="003F3144" w:rsidP="003F3144">
      <w:pPr>
        <w:pStyle w:val="Heading2"/>
      </w:pPr>
      <w:bookmarkStart w:id="0" w:name="_Toc213934196"/>
      <w:r>
        <w:t>Summary</w:t>
      </w:r>
      <w:bookmarkEnd w:id="0"/>
    </w:p>
    <w:p w14:paraId="31C93E97" w14:textId="7893EF0D" w:rsidR="003F3144" w:rsidRDefault="003F3144" w:rsidP="00337F8C">
      <w:pPr>
        <w:spacing w:before="240" w:after="120" w:line="276" w:lineRule="auto"/>
        <w:rPr>
          <w:szCs w:val="24"/>
        </w:rPr>
      </w:pPr>
      <w:r w:rsidRPr="003F3144">
        <w:rPr>
          <w:szCs w:val="24"/>
        </w:rPr>
        <w:t>A key ecosystem service in coastal systems is remediation of nutrient pollution through sediment burial, vegetative uptake and microbial processing. Denitrification is a facultative anaerobic process where microbial activity transforms nitrate (NO</w:t>
      </w:r>
      <w:r w:rsidRPr="003F3144">
        <w:rPr>
          <w:szCs w:val="24"/>
          <w:vertAlign w:val="subscript"/>
        </w:rPr>
        <w:t>3</w:t>
      </w:r>
      <w:r w:rsidRPr="003F3144">
        <w:rPr>
          <w:szCs w:val="24"/>
          <w:vertAlign w:val="superscript"/>
        </w:rPr>
        <w:t>-</w:t>
      </w:r>
      <w:r w:rsidRPr="003F3144">
        <w:rPr>
          <w:szCs w:val="24"/>
        </w:rPr>
        <w:t>), which in high concentrations can be environmentally harmful, into the environmentally benign dinitrogen gas (N</w:t>
      </w:r>
      <w:r w:rsidRPr="003F3144">
        <w:rPr>
          <w:szCs w:val="24"/>
          <w:vertAlign w:val="subscript"/>
        </w:rPr>
        <w:t>2</w:t>
      </w:r>
      <w:r w:rsidRPr="003F3144">
        <w:rPr>
          <w:szCs w:val="24"/>
        </w:rPr>
        <w:t xml:space="preserve">). </w:t>
      </w:r>
      <w:r w:rsidR="007A243C">
        <w:rPr>
          <w:szCs w:val="24"/>
        </w:rPr>
        <w:t>However,</w:t>
      </w:r>
      <w:r w:rsidRPr="003F3144">
        <w:rPr>
          <w:szCs w:val="24"/>
        </w:rPr>
        <w:t xml:space="preserve"> an intermediate product, nitrous oxide (N</w:t>
      </w:r>
      <w:r w:rsidRPr="003F3144">
        <w:rPr>
          <w:szCs w:val="24"/>
          <w:vertAlign w:val="subscript"/>
        </w:rPr>
        <w:t>2</w:t>
      </w:r>
      <w:r w:rsidRPr="003F3144">
        <w:rPr>
          <w:szCs w:val="24"/>
        </w:rPr>
        <w:t>O), can also be given off and contribute to climate change.</w:t>
      </w:r>
      <w:r>
        <w:rPr>
          <w:szCs w:val="24"/>
        </w:rPr>
        <w:t xml:space="preserve"> </w:t>
      </w:r>
    </w:p>
    <w:p w14:paraId="4C3D0A54" w14:textId="27E3298B" w:rsidR="003F3144" w:rsidRPr="00B07E20" w:rsidRDefault="003F3144" w:rsidP="003F3144">
      <w:pPr>
        <w:rPr>
          <w:color w:val="FF0000"/>
        </w:rPr>
      </w:pPr>
      <w:r>
        <w:rPr>
          <w:szCs w:val="24"/>
        </w:rPr>
        <w:t xml:space="preserve">Here, we improve the evidence base on denitrification, and potential relationships with purported drivers, through a </w:t>
      </w:r>
      <w:r w:rsidR="005A0490">
        <w:rPr>
          <w:szCs w:val="24"/>
        </w:rPr>
        <w:t>national</w:t>
      </w:r>
      <w:r>
        <w:rPr>
          <w:szCs w:val="24"/>
        </w:rPr>
        <w:t xml:space="preserve"> study of denitrification rates in </w:t>
      </w:r>
      <w:r w:rsidR="009734F7">
        <w:rPr>
          <w:szCs w:val="24"/>
        </w:rPr>
        <w:t xml:space="preserve">seagrass </w:t>
      </w:r>
      <w:r w:rsidR="00262279">
        <w:rPr>
          <w:szCs w:val="24"/>
        </w:rPr>
        <w:t>beds</w:t>
      </w:r>
      <w:r w:rsidR="009734F7">
        <w:rPr>
          <w:szCs w:val="24"/>
        </w:rPr>
        <w:t xml:space="preserve"> and mudflats</w:t>
      </w:r>
      <w:r>
        <w:rPr>
          <w:szCs w:val="24"/>
        </w:rPr>
        <w:t>. Using a combination of classic vegetation survey techniques, core extraction, and subsequent laboratory processing, we aim to quantify relative variation in denitrification rates across environmental contexts.</w:t>
      </w:r>
    </w:p>
    <w:p w14:paraId="361DF774" w14:textId="48865003" w:rsidR="003F3144" w:rsidRDefault="00B706E1" w:rsidP="008038FC">
      <w:pPr>
        <w:spacing w:before="240" w:after="120" w:line="276" w:lineRule="auto"/>
      </w:pPr>
      <w:r>
        <w:t xml:space="preserve">We surveyed </w:t>
      </w:r>
      <w:r w:rsidR="00262279">
        <w:t>two seagrass beds and two mudflats in each of six coastal sites (</w:t>
      </w:r>
      <w:r w:rsidR="00DF1AB4">
        <w:t>Holy Island</w:t>
      </w:r>
      <w:r w:rsidR="00FE7576">
        <w:t xml:space="preserve">, </w:t>
      </w:r>
      <w:r w:rsidR="00450320" w:rsidRPr="00D62161">
        <w:t>Blackwater</w:t>
      </w:r>
      <w:r w:rsidR="00450320">
        <w:t>, Thames</w:t>
      </w:r>
      <w:r w:rsidR="008D3E9C">
        <w:t>, Chichester</w:t>
      </w:r>
      <w:r w:rsidR="00103D5F">
        <w:t xml:space="preserve">, </w:t>
      </w:r>
      <w:r w:rsidR="0015643A">
        <w:t>Plymouth, Morecambe</w:t>
      </w:r>
      <w:r w:rsidR="00262279">
        <w:t xml:space="preserve">) </w:t>
      </w:r>
      <w:r w:rsidR="000B0747">
        <w:t xml:space="preserve">between </w:t>
      </w:r>
      <w:r w:rsidR="00A6400A">
        <w:t>December 2024 and March 2025</w:t>
      </w:r>
      <w:r w:rsidR="008038FC">
        <w:t xml:space="preserve"> </w:t>
      </w:r>
      <w:r w:rsidR="003F3144">
        <w:t xml:space="preserve">to characterise </w:t>
      </w:r>
      <w:r w:rsidR="00532D60">
        <w:t xml:space="preserve">national differences in </w:t>
      </w:r>
      <w:r w:rsidR="003F3144">
        <w:t xml:space="preserve">denitrification </w:t>
      </w:r>
      <w:r w:rsidR="00532D60">
        <w:t xml:space="preserve">rates and </w:t>
      </w:r>
      <w:r w:rsidR="003B2BF0">
        <w:t>their</w:t>
      </w:r>
      <w:r w:rsidR="00532D60">
        <w:t xml:space="preserve"> relationship with </w:t>
      </w:r>
      <w:r w:rsidR="00CF0723">
        <w:t>potential drivers</w:t>
      </w:r>
      <w:r w:rsidR="003F3144">
        <w:t>.</w:t>
      </w:r>
    </w:p>
    <w:p w14:paraId="17EBDB6B" w14:textId="3F2B40C5" w:rsidR="00466419" w:rsidRDefault="00A55D3E" w:rsidP="003F3144">
      <w:pPr>
        <w:spacing w:before="240" w:after="120" w:line="276" w:lineRule="auto"/>
      </w:pPr>
      <w:r>
        <w:t>This data accompanies the technical report</w:t>
      </w:r>
      <w:r w:rsidR="00DB7293">
        <w:t xml:space="preserve"> “</w:t>
      </w:r>
      <w:r w:rsidR="00DB7293" w:rsidRPr="00DB7293">
        <w:t>Denitrification dynamics and relationships with potential drivers across English saltmarshes, seagrass beds, and mudflats: Capturing national variation in space and time</w:t>
      </w:r>
      <w:r w:rsidR="00DB7293">
        <w:t>”</w:t>
      </w:r>
    </w:p>
    <w:sdt>
      <w:sdtPr>
        <w:rPr>
          <w:rFonts w:asciiTheme="minorHAnsi" w:eastAsiaTheme="minorHAnsi" w:hAnsiTheme="minorHAnsi" w:cstheme="minorBidi"/>
          <w:color w:val="auto"/>
          <w:kern w:val="2"/>
          <w:sz w:val="22"/>
          <w:szCs w:val="22"/>
          <w:lang w:eastAsia="en-US"/>
          <w14:ligatures w14:val="standardContextual"/>
        </w:rPr>
        <w:id w:val="1310598820"/>
        <w:docPartObj>
          <w:docPartGallery w:val="Table of Contents"/>
          <w:docPartUnique/>
        </w:docPartObj>
      </w:sdtPr>
      <w:sdtEndPr>
        <w:rPr>
          <w:b/>
          <w:bCs/>
        </w:rPr>
      </w:sdtEndPr>
      <w:sdtContent>
        <w:p w14:paraId="4DD70387" w14:textId="338C43BC" w:rsidR="00466419" w:rsidRDefault="00466419">
          <w:pPr>
            <w:pStyle w:val="TOCHeading"/>
          </w:pPr>
          <w:r>
            <w:t>Contents</w:t>
          </w:r>
        </w:p>
        <w:p w14:paraId="25295B2A" w14:textId="7296D107" w:rsidR="007A243C" w:rsidRDefault="00466419">
          <w:pPr>
            <w:pStyle w:val="TOC2"/>
            <w:tabs>
              <w:tab w:val="right" w:leader="dot" w:pos="9016"/>
            </w:tabs>
            <w:rPr>
              <w:rFonts w:eastAsiaTheme="minorEastAsia"/>
              <w:noProof/>
              <w:sz w:val="24"/>
              <w:szCs w:val="24"/>
              <w:lang w:eastAsia="en-GB"/>
            </w:rPr>
          </w:pPr>
          <w:r>
            <w:fldChar w:fldCharType="begin"/>
          </w:r>
          <w:r>
            <w:instrText xml:space="preserve"> TOC \o "1-3" \h \z \u </w:instrText>
          </w:r>
          <w:r>
            <w:fldChar w:fldCharType="separate"/>
          </w:r>
          <w:hyperlink w:anchor="_Toc213934196" w:history="1">
            <w:r w:rsidR="007A243C" w:rsidRPr="00C569CE">
              <w:rPr>
                <w:rStyle w:val="Hyperlink"/>
                <w:noProof/>
              </w:rPr>
              <w:t>Summary</w:t>
            </w:r>
            <w:r w:rsidR="007A243C">
              <w:rPr>
                <w:noProof/>
                <w:webHidden/>
              </w:rPr>
              <w:tab/>
            </w:r>
            <w:r w:rsidR="007A243C">
              <w:rPr>
                <w:noProof/>
                <w:webHidden/>
              </w:rPr>
              <w:fldChar w:fldCharType="begin"/>
            </w:r>
            <w:r w:rsidR="007A243C">
              <w:rPr>
                <w:noProof/>
                <w:webHidden/>
              </w:rPr>
              <w:instrText xml:space="preserve"> PAGEREF _Toc213934196 \h </w:instrText>
            </w:r>
            <w:r w:rsidR="007A243C">
              <w:rPr>
                <w:noProof/>
                <w:webHidden/>
              </w:rPr>
            </w:r>
            <w:r w:rsidR="007A243C">
              <w:rPr>
                <w:noProof/>
                <w:webHidden/>
              </w:rPr>
              <w:fldChar w:fldCharType="separate"/>
            </w:r>
            <w:r w:rsidR="007A243C">
              <w:rPr>
                <w:noProof/>
                <w:webHidden/>
              </w:rPr>
              <w:t>1</w:t>
            </w:r>
            <w:r w:rsidR="007A243C">
              <w:rPr>
                <w:noProof/>
                <w:webHidden/>
              </w:rPr>
              <w:fldChar w:fldCharType="end"/>
            </w:r>
          </w:hyperlink>
        </w:p>
        <w:p w14:paraId="3E9B1F91" w14:textId="55653C52" w:rsidR="007A243C" w:rsidRDefault="007A243C">
          <w:pPr>
            <w:pStyle w:val="TOC2"/>
            <w:tabs>
              <w:tab w:val="right" w:leader="dot" w:pos="9016"/>
            </w:tabs>
            <w:rPr>
              <w:rFonts w:eastAsiaTheme="minorEastAsia"/>
              <w:noProof/>
              <w:sz w:val="24"/>
              <w:szCs w:val="24"/>
              <w:lang w:eastAsia="en-GB"/>
            </w:rPr>
          </w:pPr>
          <w:hyperlink w:anchor="_Toc213934197" w:history="1">
            <w:r w:rsidRPr="00C569CE">
              <w:rPr>
                <w:rStyle w:val="Hyperlink"/>
                <w:noProof/>
              </w:rPr>
              <w:t>Files included</w:t>
            </w:r>
            <w:r>
              <w:rPr>
                <w:noProof/>
                <w:webHidden/>
              </w:rPr>
              <w:tab/>
            </w:r>
            <w:r>
              <w:rPr>
                <w:noProof/>
                <w:webHidden/>
              </w:rPr>
              <w:fldChar w:fldCharType="begin"/>
            </w:r>
            <w:r>
              <w:rPr>
                <w:noProof/>
                <w:webHidden/>
              </w:rPr>
              <w:instrText xml:space="preserve"> PAGEREF _Toc213934197 \h </w:instrText>
            </w:r>
            <w:r>
              <w:rPr>
                <w:noProof/>
                <w:webHidden/>
              </w:rPr>
            </w:r>
            <w:r>
              <w:rPr>
                <w:noProof/>
                <w:webHidden/>
              </w:rPr>
              <w:fldChar w:fldCharType="separate"/>
            </w:r>
            <w:r>
              <w:rPr>
                <w:noProof/>
                <w:webHidden/>
              </w:rPr>
              <w:t>2</w:t>
            </w:r>
            <w:r>
              <w:rPr>
                <w:noProof/>
                <w:webHidden/>
              </w:rPr>
              <w:fldChar w:fldCharType="end"/>
            </w:r>
          </w:hyperlink>
        </w:p>
        <w:p w14:paraId="6016D830" w14:textId="704D5E61" w:rsidR="007A243C" w:rsidRDefault="007A243C">
          <w:pPr>
            <w:pStyle w:val="TOC2"/>
            <w:tabs>
              <w:tab w:val="right" w:leader="dot" w:pos="9016"/>
            </w:tabs>
            <w:rPr>
              <w:rFonts w:eastAsiaTheme="minorEastAsia"/>
              <w:noProof/>
              <w:sz w:val="24"/>
              <w:szCs w:val="24"/>
              <w:lang w:eastAsia="en-GB"/>
            </w:rPr>
          </w:pPr>
          <w:hyperlink w:anchor="_Toc213934198" w:history="1">
            <w:r w:rsidRPr="00C569CE">
              <w:rPr>
                <w:rStyle w:val="Hyperlink"/>
                <w:noProof/>
              </w:rPr>
              <w:t>Spatial and temporal coverage</w:t>
            </w:r>
            <w:r>
              <w:rPr>
                <w:noProof/>
                <w:webHidden/>
              </w:rPr>
              <w:tab/>
            </w:r>
            <w:r>
              <w:rPr>
                <w:noProof/>
                <w:webHidden/>
              </w:rPr>
              <w:fldChar w:fldCharType="begin"/>
            </w:r>
            <w:r>
              <w:rPr>
                <w:noProof/>
                <w:webHidden/>
              </w:rPr>
              <w:instrText xml:space="preserve"> PAGEREF _Toc213934198 \h </w:instrText>
            </w:r>
            <w:r>
              <w:rPr>
                <w:noProof/>
                <w:webHidden/>
              </w:rPr>
            </w:r>
            <w:r>
              <w:rPr>
                <w:noProof/>
                <w:webHidden/>
              </w:rPr>
              <w:fldChar w:fldCharType="separate"/>
            </w:r>
            <w:r>
              <w:rPr>
                <w:noProof/>
                <w:webHidden/>
              </w:rPr>
              <w:t>3</w:t>
            </w:r>
            <w:r>
              <w:rPr>
                <w:noProof/>
                <w:webHidden/>
              </w:rPr>
              <w:fldChar w:fldCharType="end"/>
            </w:r>
          </w:hyperlink>
        </w:p>
        <w:p w14:paraId="67709375" w14:textId="25059FC2" w:rsidR="007A243C" w:rsidRDefault="007A243C">
          <w:pPr>
            <w:pStyle w:val="TOC2"/>
            <w:tabs>
              <w:tab w:val="right" w:leader="dot" w:pos="9016"/>
            </w:tabs>
            <w:rPr>
              <w:rFonts w:eastAsiaTheme="minorEastAsia"/>
              <w:noProof/>
              <w:sz w:val="24"/>
              <w:szCs w:val="24"/>
              <w:lang w:eastAsia="en-GB"/>
            </w:rPr>
          </w:pPr>
          <w:hyperlink w:anchor="_Toc213934199" w:history="1">
            <w:r w:rsidRPr="00C569CE">
              <w:rPr>
                <w:rStyle w:val="Hyperlink"/>
                <w:noProof/>
              </w:rPr>
              <w:t>Sampling regime and experimental design</w:t>
            </w:r>
            <w:r>
              <w:rPr>
                <w:noProof/>
                <w:webHidden/>
              </w:rPr>
              <w:tab/>
            </w:r>
            <w:r>
              <w:rPr>
                <w:noProof/>
                <w:webHidden/>
              </w:rPr>
              <w:fldChar w:fldCharType="begin"/>
            </w:r>
            <w:r>
              <w:rPr>
                <w:noProof/>
                <w:webHidden/>
              </w:rPr>
              <w:instrText xml:space="preserve"> PAGEREF _Toc213934199 \h </w:instrText>
            </w:r>
            <w:r>
              <w:rPr>
                <w:noProof/>
                <w:webHidden/>
              </w:rPr>
            </w:r>
            <w:r>
              <w:rPr>
                <w:noProof/>
                <w:webHidden/>
              </w:rPr>
              <w:fldChar w:fldCharType="separate"/>
            </w:r>
            <w:r>
              <w:rPr>
                <w:noProof/>
                <w:webHidden/>
              </w:rPr>
              <w:t>3</w:t>
            </w:r>
            <w:r>
              <w:rPr>
                <w:noProof/>
                <w:webHidden/>
              </w:rPr>
              <w:fldChar w:fldCharType="end"/>
            </w:r>
          </w:hyperlink>
        </w:p>
        <w:p w14:paraId="64D5F087" w14:textId="1791BF58" w:rsidR="007A243C" w:rsidRDefault="007A243C">
          <w:pPr>
            <w:pStyle w:val="TOC3"/>
            <w:tabs>
              <w:tab w:val="right" w:leader="dot" w:pos="9016"/>
            </w:tabs>
            <w:rPr>
              <w:rFonts w:eastAsiaTheme="minorEastAsia"/>
              <w:noProof/>
              <w:sz w:val="24"/>
              <w:szCs w:val="24"/>
              <w:lang w:eastAsia="en-GB"/>
            </w:rPr>
          </w:pPr>
          <w:hyperlink w:anchor="_Toc213934200" w:history="1">
            <w:r w:rsidRPr="00C569CE">
              <w:rPr>
                <w:rStyle w:val="Hyperlink"/>
                <w:noProof/>
              </w:rPr>
              <w:t>Characterising Seagrass Vegetation and Mudflats</w:t>
            </w:r>
            <w:r>
              <w:rPr>
                <w:noProof/>
                <w:webHidden/>
              </w:rPr>
              <w:tab/>
            </w:r>
            <w:r>
              <w:rPr>
                <w:noProof/>
                <w:webHidden/>
              </w:rPr>
              <w:fldChar w:fldCharType="begin"/>
            </w:r>
            <w:r>
              <w:rPr>
                <w:noProof/>
                <w:webHidden/>
              </w:rPr>
              <w:instrText xml:space="preserve"> PAGEREF _Toc213934200 \h </w:instrText>
            </w:r>
            <w:r>
              <w:rPr>
                <w:noProof/>
                <w:webHidden/>
              </w:rPr>
            </w:r>
            <w:r>
              <w:rPr>
                <w:noProof/>
                <w:webHidden/>
              </w:rPr>
              <w:fldChar w:fldCharType="separate"/>
            </w:r>
            <w:r>
              <w:rPr>
                <w:noProof/>
                <w:webHidden/>
              </w:rPr>
              <w:t>4</w:t>
            </w:r>
            <w:r>
              <w:rPr>
                <w:noProof/>
                <w:webHidden/>
              </w:rPr>
              <w:fldChar w:fldCharType="end"/>
            </w:r>
          </w:hyperlink>
        </w:p>
        <w:p w14:paraId="7E796300" w14:textId="502E33B7" w:rsidR="007A243C" w:rsidRDefault="007A243C">
          <w:pPr>
            <w:pStyle w:val="TOC3"/>
            <w:tabs>
              <w:tab w:val="right" w:leader="dot" w:pos="9016"/>
            </w:tabs>
            <w:rPr>
              <w:rFonts w:eastAsiaTheme="minorEastAsia"/>
              <w:noProof/>
              <w:sz w:val="24"/>
              <w:szCs w:val="24"/>
              <w:lang w:eastAsia="en-GB"/>
            </w:rPr>
          </w:pPr>
          <w:hyperlink w:anchor="_Toc213934201" w:history="1">
            <w:r w:rsidRPr="00C569CE">
              <w:rPr>
                <w:rStyle w:val="Hyperlink"/>
                <w:noProof/>
              </w:rPr>
              <w:t>Seagrass and Mudflat Denitrification and Potential Drivers: Sample Collection for Analysis</w:t>
            </w:r>
            <w:r>
              <w:rPr>
                <w:noProof/>
                <w:webHidden/>
              </w:rPr>
              <w:tab/>
            </w:r>
            <w:r>
              <w:rPr>
                <w:noProof/>
                <w:webHidden/>
              </w:rPr>
              <w:fldChar w:fldCharType="begin"/>
            </w:r>
            <w:r>
              <w:rPr>
                <w:noProof/>
                <w:webHidden/>
              </w:rPr>
              <w:instrText xml:space="preserve"> PAGEREF _Toc213934201 \h </w:instrText>
            </w:r>
            <w:r>
              <w:rPr>
                <w:noProof/>
                <w:webHidden/>
              </w:rPr>
            </w:r>
            <w:r>
              <w:rPr>
                <w:noProof/>
                <w:webHidden/>
              </w:rPr>
              <w:fldChar w:fldCharType="separate"/>
            </w:r>
            <w:r>
              <w:rPr>
                <w:noProof/>
                <w:webHidden/>
              </w:rPr>
              <w:t>4</w:t>
            </w:r>
            <w:r>
              <w:rPr>
                <w:noProof/>
                <w:webHidden/>
              </w:rPr>
              <w:fldChar w:fldCharType="end"/>
            </w:r>
          </w:hyperlink>
        </w:p>
        <w:p w14:paraId="11D7EFCA" w14:textId="67C249DC" w:rsidR="007A243C" w:rsidRDefault="007A243C">
          <w:pPr>
            <w:pStyle w:val="TOC2"/>
            <w:tabs>
              <w:tab w:val="right" w:leader="dot" w:pos="9016"/>
            </w:tabs>
            <w:rPr>
              <w:rFonts w:eastAsiaTheme="minorEastAsia"/>
              <w:noProof/>
              <w:sz w:val="24"/>
              <w:szCs w:val="24"/>
              <w:lang w:eastAsia="en-GB"/>
            </w:rPr>
          </w:pPr>
          <w:hyperlink w:anchor="_Toc213934202" w:history="1">
            <w:r w:rsidRPr="00C569CE">
              <w:rPr>
                <w:rStyle w:val="Hyperlink"/>
                <w:noProof/>
              </w:rPr>
              <w:t>Laboratory Analyses</w:t>
            </w:r>
            <w:r>
              <w:rPr>
                <w:noProof/>
                <w:webHidden/>
              </w:rPr>
              <w:tab/>
            </w:r>
            <w:r>
              <w:rPr>
                <w:noProof/>
                <w:webHidden/>
              </w:rPr>
              <w:fldChar w:fldCharType="begin"/>
            </w:r>
            <w:r>
              <w:rPr>
                <w:noProof/>
                <w:webHidden/>
              </w:rPr>
              <w:instrText xml:space="preserve"> PAGEREF _Toc213934202 \h </w:instrText>
            </w:r>
            <w:r>
              <w:rPr>
                <w:noProof/>
                <w:webHidden/>
              </w:rPr>
            </w:r>
            <w:r>
              <w:rPr>
                <w:noProof/>
                <w:webHidden/>
              </w:rPr>
              <w:fldChar w:fldCharType="separate"/>
            </w:r>
            <w:r>
              <w:rPr>
                <w:noProof/>
                <w:webHidden/>
              </w:rPr>
              <w:t>5</w:t>
            </w:r>
            <w:r>
              <w:rPr>
                <w:noProof/>
                <w:webHidden/>
              </w:rPr>
              <w:fldChar w:fldCharType="end"/>
            </w:r>
          </w:hyperlink>
        </w:p>
        <w:p w14:paraId="2416C45E" w14:textId="2F04E9E9" w:rsidR="007A243C" w:rsidRDefault="007A243C">
          <w:pPr>
            <w:pStyle w:val="TOC3"/>
            <w:tabs>
              <w:tab w:val="right" w:leader="dot" w:pos="9016"/>
            </w:tabs>
            <w:rPr>
              <w:rFonts w:eastAsiaTheme="minorEastAsia"/>
              <w:noProof/>
              <w:sz w:val="24"/>
              <w:szCs w:val="24"/>
              <w:lang w:eastAsia="en-GB"/>
            </w:rPr>
          </w:pPr>
          <w:hyperlink w:anchor="_Toc213934203" w:history="1">
            <w:r w:rsidRPr="00C569CE">
              <w:rPr>
                <w:rStyle w:val="Hyperlink"/>
                <w:noProof/>
              </w:rPr>
              <w:t>Denitrification Dynamics: The Wetland Hydroperiod Simulator Approach</w:t>
            </w:r>
            <w:r>
              <w:rPr>
                <w:noProof/>
                <w:webHidden/>
              </w:rPr>
              <w:tab/>
            </w:r>
            <w:r>
              <w:rPr>
                <w:noProof/>
                <w:webHidden/>
              </w:rPr>
              <w:fldChar w:fldCharType="begin"/>
            </w:r>
            <w:r>
              <w:rPr>
                <w:noProof/>
                <w:webHidden/>
              </w:rPr>
              <w:instrText xml:space="preserve"> PAGEREF _Toc213934203 \h </w:instrText>
            </w:r>
            <w:r>
              <w:rPr>
                <w:noProof/>
                <w:webHidden/>
              </w:rPr>
            </w:r>
            <w:r>
              <w:rPr>
                <w:noProof/>
                <w:webHidden/>
              </w:rPr>
              <w:fldChar w:fldCharType="separate"/>
            </w:r>
            <w:r>
              <w:rPr>
                <w:noProof/>
                <w:webHidden/>
              </w:rPr>
              <w:t>5</w:t>
            </w:r>
            <w:r>
              <w:rPr>
                <w:noProof/>
                <w:webHidden/>
              </w:rPr>
              <w:fldChar w:fldCharType="end"/>
            </w:r>
          </w:hyperlink>
        </w:p>
        <w:p w14:paraId="18781587" w14:textId="58EEA0CA" w:rsidR="007A243C" w:rsidRDefault="007A243C">
          <w:pPr>
            <w:pStyle w:val="TOC3"/>
            <w:tabs>
              <w:tab w:val="right" w:leader="dot" w:pos="9016"/>
            </w:tabs>
            <w:rPr>
              <w:rFonts w:eastAsiaTheme="minorEastAsia"/>
              <w:noProof/>
              <w:sz w:val="24"/>
              <w:szCs w:val="24"/>
              <w:lang w:eastAsia="en-GB"/>
            </w:rPr>
          </w:pPr>
          <w:hyperlink w:anchor="_Toc213934204" w:history="1">
            <w:r w:rsidRPr="00C569CE">
              <w:rPr>
                <w:rStyle w:val="Hyperlink"/>
                <w:noProof/>
              </w:rPr>
              <w:t>Denitrification Dynamics: Gas Analysis</w:t>
            </w:r>
            <w:r>
              <w:rPr>
                <w:noProof/>
                <w:webHidden/>
              </w:rPr>
              <w:tab/>
            </w:r>
            <w:r>
              <w:rPr>
                <w:noProof/>
                <w:webHidden/>
              </w:rPr>
              <w:fldChar w:fldCharType="begin"/>
            </w:r>
            <w:r>
              <w:rPr>
                <w:noProof/>
                <w:webHidden/>
              </w:rPr>
              <w:instrText xml:space="preserve"> PAGEREF _Toc213934204 \h </w:instrText>
            </w:r>
            <w:r>
              <w:rPr>
                <w:noProof/>
                <w:webHidden/>
              </w:rPr>
            </w:r>
            <w:r>
              <w:rPr>
                <w:noProof/>
                <w:webHidden/>
              </w:rPr>
              <w:fldChar w:fldCharType="separate"/>
            </w:r>
            <w:r>
              <w:rPr>
                <w:noProof/>
                <w:webHidden/>
              </w:rPr>
              <w:t>6</w:t>
            </w:r>
            <w:r>
              <w:rPr>
                <w:noProof/>
                <w:webHidden/>
              </w:rPr>
              <w:fldChar w:fldCharType="end"/>
            </w:r>
          </w:hyperlink>
        </w:p>
        <w:p w14:paraId="51DEAB8B" w14:textId="23B0AE4C" w:rsidR="007A243C" w:rsidRDefault="007A243C">
          <w:pPr>
            <w:pStyle w:val="TOC3"/>
            <w:tabs>
              <w:tab w:val="right" w:leader="dot" w:pos="9016"/>
            </w:tabs>
            <w:rPr>
              <w:rFonts w:eastAsiaTheme="minorEastAsia"/>
              <w:noProof/>
              <w:sz w:val="24"/>
              <w:szCs w:val="24"/>
              <w:lang w:eastAsia="en-GB"/>
            </w:rPr>
          </w:pPr>
          <w:hyperlink w:anchor="_Toc213934205" w:history="1">
            <w:r w:rsidRPr="00C569CE">
              <w:rPr>
                <w:rStyle w:val="Hyperlink"/>
                <w:noProof/>
              </w:rPr>
              <w:t>Denitrification Dynamics: Calculation of Potential Denitrification Rates</w:t>
            </w:r>
            <w:r>
              <w:rPr>
                <w:noProof/>
                <w:webHidden/>
              </w:rPr>
              <w:tab/>
            </w:r>
            <w:r>
              <w:rPr>
                <w:noProof/>
                <w:webHidden/>
              </w:rPr>
              <w:fldChar w:fldCharType="begin"/>
            </w:r>
            <w:r>
              <w:rPr>
                <w:noProof/>
                <w:webHidden/>
              </w:rPr>
              <w:instrText xml:space="preserve"> PAGEREF _Toc213934205 \h </w:instrText>
            </w:r>
            <w:r>
              <w:rPr>
                <w:noProof/>
                <w:webHidden/>
              </w:rPr>
            </w:r>
            <w:r>
              <w:rPr>
                <w:noProof/>
                <w:webHidden/>
              </w:rPr>
              <w:fldChar w:fldCharType="separate"/>
            </w:r>
            <w:r>
              <w:rPr>
                <w:noProof/>
                <w:webHidden/>
              </w:rPr>
              <w:t>6</w:t>
            </w:r>
            <w:r>
              <w:rPr>
                <w:noProof/>
                <w:webHidden/>
              </w:rPr>
              <w:fldChar w:fldCharType="end"/>
            </w:r>
          </w:hyperlink>
        </w:p>
        <w:p w14:paraId="6667C29E" w14:textId="461EAF62" w:rsidR="007A243C" w:rsidRDefault="007A243C">
          <w:pPr>
            <w:pStyle w:val="TOC3"/>
            <w:tabs>
              <w:tab w:val="right" w:leader="dot" w:pos="9016"/>
            </w:tabs>
            <w:rPr>
              <w:rFonts w:eastAsiaTheme="minorEastAsia"/>
              <w:noProof/>
              <w:sz w:val="24"/>
              <w:szCs w:val="24"/>
              <w:lang w:eastAsia="en-GB"/>
            </w:rPr>
          </w:pPr>
          <w:hyperlink w:anchor="_Toc213934206" w:history="1">
            <w:r w:rsidRPr="00C569CE">
              <w:rPr>
                <w:rStyle w:val="Hyperlink"/>
                <w:noProof/>
              </w:rPr>
              <w:t>Porewater and Seawater Samples</w:t>
            </w:r>
            <w:r>
              <w:rPr>
                <w:noProof/>
                <w:webHidden/>
              </w:rPr>
              <w:tab/>
            </w:r>
            <w:r>
              <w:rPr>
                <w:noProof/>
                <w:webHidden/>
              </w:rPr>
              <w:fldChar w:fldCharType="begin"/>
            </w:r>
            <w:r>
              <w:rPr>
                <w:noProof/>
                <w:webHidden/>
              </w:rPr>
              <w:instrText xml:space="preserve"> PAGEREF _Toc213934206 \h </w:instrText>
            </w:r>
            <w:r>
              <w:rPr>
                <w:noProof/>
                <w:webHidden/>
              </w:rPr>
            </w:r>
            <w:r>
              <w:rPr>
                <w:noProof/>
                <w:webHidden/>
              </w:rPr>
              <w:fldChar w:fldCharType="separate"/>
            </w:r>
            <w:r>
              <w:rPr>
                <w:noProof/>
                <w:webHidden/>
              </w:rPr>
              <w:t>7</w:t>
            </w:r>
            <w:r>
              <w:rPr>
                <w:noProof/>
                <w:webHidden/>
              </w:rPr>
              <w:fldChar w:fldCharType="end"/>
            </w:r>
          </w:hyperlink>
        </w:p>
        <w:p w14:paraId="35A22069" w14:textId="6E8F08BA" w:rsidR="007A243C" w:rsidRDefault="007A243C">
          <w:pPr>
            <w:pStyle w:val="TOC3"/>
            <w:tabs>
              <w:tab w:val="right" w:leader="dot" w:pos="9016"/>
            </w:tabs>
            <w:rPr>
              <w:rFonts w:eastAsiaTheme="minorEastAsia"/>
              <w:noProof/>
              <w:sz w:val="24"/>
              <w:szCs w:val="24"/>
              <w:lang w:eastAsia="en-GB"/>
            </w:rPr>
          </w:pPr>
          <w:hyperlink w:anchor="_Toc213934207" w:history="1">
            <w:r w:rsidRPr="00C569CE">
              <w:rPr>
                <w:rStyle w:val="Hyperlink"/>
                <w:noProof/>
              </w:rPr>
              <w:t>Organic Matter content and Bulk Density</w:t>
            </w:r>
            <w:r>
              <w:rPr>
                <w:noProof/>
                <w:webHidden/>
              </w:rPr>
              <w:tab/>
            </w:r>
            <w:r>
              <w:rPr>
                <w:noProof/>
                <w:webHidden/>
              </w:rPr>
              <w:fldChar w:fldCharType="begin"/>
            </w:r>
            <w:r>
              <w:rPr>
                <w:noProof/>
                <w:webHidden/>
              </w:rPr>
              <w:instrText xml:space="preserve"> PAGEREF _Toc213934207 \h </w:instrText>
            </w:r>
            <w:r>
              <w:rPr>
                <w:noProof/>
                <w:webHidden/>
              </w:rPr>
            </w:r>
            <w:r>
              <w:rPr>
                <w:noProof/>
                <w:webHidden/>
              </w:rPr>
              <w:fldChar w:fldCharType="separate"/>
            </w:r>
            <w:r>
              <w:rPr>
                <w:noProof/>
                <w:webHidden/>
              </w:rPr>
              <w:t>7</w:t>
            </w:r>
            <w:r>
              <w:rPr>
                <w:noProof/>
                <w:webHidden/>
              </w:rPr>
              <w:fldChar w:fldCharType="end"/>
            </w:r>
          </w:hyperlink>
        </w:p>
        <w:p w14:paraId="07A2AF0E" w14:textId="27C21D09" w:rsidR="00466419" w:rsidRPr="00466419" w:rsidRDefault="00466419" w:rsidP="00466419">
          <w:r>
            <w:rPr>
              <w:b/>
              <w:bCs/>
            </w:rPr>
            <w:fldChar w:fldCharType="end"/>
          </w:r>
        </w:p>
      </w:sdtContent>
    </w:sdt>
    <w:p w14:paraId="4F1E9FB9" w14:textId="77777777" w:rsidR="003F3144" w:rsidRDefault="003F3144" w:rsidP="003F3144">
      <w:pPr>
        <w:spacing w:before="240" w:after="120" w:line="276" w:lineRule="auto"/>
        <w:rPr>
          <w:color w:val="FF0000"/>
        </w:rPr>
      </w:pPr>
    </w:p>
    <w:p w14:paraId="4666DBB5" w14:textId="17E671A1" w:rsidR="00337F8C" w:rsidRDefault="00337F8C" w:rsidP="00337F8C">
      <w:pPr>
        <w:pStyle w:val="Heading2"/>
      </w:pPr>
      <w:bookmarkStart w:id="1" w:name="_Toc213934197"/>
      <w:r>
        <w:t>Files included</w:t>
      </w:r>
      <w:bookmarkEnd w:id="1"/>
    </w:p>
    <w:p w14:paraId="277904C7" w14:textId="6D65CD99" w:rsidR="00337F8C" w:rsidRDefault="00874384" w:rsidP="00337F8C">
      <w:r>
        <w:t>E</w:t>
      </w:r>
      <w:r w:rsidR="00932A65">
        <w:t>ight data files and eight accompanying meta-data files</w:t>
      </w:r>
      <w:r>
        <w:t xml:space="preserve"> are included</w:t>
      </w:r>
      <w:r w:rsidR="00827502">
        <w:t xml:space="preserve"> (Table 1)</w:t>
      </w:r>
      <w:r w:rsidR="00932A65">
        <w:t xml:space="preserve">. The </w:t>
      </w:r>
      <w:r w:rsidR="006F2238">
        <w:t>meta-data files include the variable descriptions</w:t>
      </w:r>
      <w:r w:rsidR="0088444D">
        <w:t>, units and other details.</w:t>
      </w:r>
    </w:p>
    <w:p w14:paraId="48ADACCE" w14:textId="4F9239B2" w:rsidR="00827502" w:rsidRDefault="00827502" w:rsidP="00337F8C">
      <w:r w:rsidRPr="009B52A3">
        <w:rPr>
          <w:b/>
          <w:bCs/>
        </w:rPr>
        <w:t>Table 1</w:t>
      </w:r>
      <w:r>
        <w:t xml:space="preserve">: files included in the data set </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5671"/>
      </w:tblGrid>
      <w:tr w:rsidR="00084C85" w:rsidRPr="00C5489A" w14:paraId="0E89EEF5" w14:textId="7518653C" w:rsidTr="007A29CB">
        <w:trPr>
          <w:trHeight w:val="300"/>
        </w:trPr>
        <w:tc>
          <w:tcPr>
            <w:tcW w:w="2976" w:type="dxa"/>
            <w:shd w:val="clear" w:color="auto" w:fill="auto"/>
            <w:noWrap/>
            <w:vAlign w:val="center"/>
            <w:hideMark/>
          </w:tcPr>
          <w:p w14:paraId="58534BA5" w14:textId="5B0CE135" w:rsidR="00084C85" w:rsidRPr="00084C85" w:rsidRDefault="00084C85" w:rsidP="007A29CB">
            <w:pPr>
              <w:spacing w:after="0" w:line="240" w:lineRule="auto"/>
              <w:rPr>
                <w:rFonts w:ascii="Aptos Narrow" w:eastAsia="Times New Roman" w:hAnsi="Aptos Narrow" w:cs="Times New Roman"/>
                <w:b/>
                <w:bCs/>
                <w:color w:val="000000"/>
                <w:kern w:val="0"/>
                <w:lang w:eastAsia="en-GB"/>
                <w14:ligatures w14:val="none"/>
              </w:rPr>
            </w:pPr>
            <w:r w:rsidRPr="00C5489A">
              <w:rPr>
                <w:rFonts w:ascii="Aptos Narrow" w:eastAsia="Times New Roman" w:hAnsi="Aptos Narrow" w:cs="Times New Roman"/>
                <w:b/>
                <w:bCs/>
                <w:color w:val="000000"/>
                <w:kern w:val="0"/>
                <w:lang w:eastAsia="en-GB"/>
                <w14:ligatures w14:val="none"/>
              </w:rPr>
              <w:t>File</w:t>
            </w:r>
            <w:r w:rsidR="00ED4CC6" w:rsidRPr="00C5489A">
              <w:rPr>
                <w:rFonts w:ascii="Aptos Narrow" w:eastAsia="Times New Roman" w:hAnsi="Aptos Narrow" w:cs="Times New Roman"/>
                <w:b/>
                <w:bCs/>
                <w:color w:val="000000"/>
                <w:kern w:val="0"/>
                <w:lang w:eastAsia="en-GB"/>
                <w14:ligatures w14:val="none"/>
              </w:rPr>
              <w:t xml:space="preserve"> </w:t>
            </w:r>
            <w:r w:rsidRPr="00C5489A">
              <w:rPr>
                <w:rFonts w:ascii="Aptos Narrow" w:eastAsia="Times New Roman" w:hAnsi="Aptos Narrow" w:cs="Times New Roman"/>
                <w:b/>
                <w:bCs/>
                <w:color w:val="000000"/>
                <w:kern w:val="0"/>
                <w:lang w:eastAsia="en-GB"/>
                <w14:ligatures w14:val="none"/>
              </w:rPr>
              <w:t>names</w:t>
            </w:r>
          </w:p>
        </w:tc>
        <w:tc>
          <w:tcPr>
            <w:tcW w:w="5671" w:type="dxa"/>
            <w:vAlign w:val="center"/>
          </w:tcPr>
          <w:p w14:paraId="43F09F1D" w14:textId="24306287" w:rsidR="00084C85" w:rsidRPr="00C5489A" w:rsidRDefault="00084C85" w:rsidP="007A29CB">
            <w:pPr>
              <w:spacing w:after="0" w:line="240" w:lineRule="auto"/>
              <w:rPr>
                <w:rFonts w:ascii="Aptos Narrow" w:eastAsia="Times New Roman" w:hAnsi="Aptos Narrow" w:cs="Times New Roman"/>
                <w:b/>
                <w:bCs/>
                <w:color w:val="000000"/>
                <w:kern w:val="0"/>
                <w:lang w:eastAsia="en-GB"/>
                <w14:ligatures w14:val="none"/>
              </w:rPr>
            </w:pPr>
            <w:r w:rsidRPr="00C5489A">
              <w:rPr>
                <w:rFonts w:ascii="Aptos Narrow" w:eastAsia="Times New Roman" w:hAnsi="Aptos Narrow" w:cs="Times New Roman"/>
                <w:b/>
                <w:bCs/>
                <w:color w:val="000000"/>
                <w:kern w:val="0"/>
                <w:lang w:eastAsia="en-GB"/>
                <w14:ligatures w14:val="none"/>
              </w:rPr>
              <w:t>Description</w:t>
            </w:r>
          </w:p>
        </w:tc>
      </w:tr>
      <w:tr w:rsidR="00F4156F" w:rsidRPr="00C5489A" w14:paraId="234C3ACC" w14:textId="22ACA582" w:rsidTr="007A29CB">
        <w:trPr>
          <w:trHeight w:val="300"/>
        </w:trPr>
        <w:tc>
          <w:tcPr>
            <w:tcW w:w="2976" w:type="dxa"/>
            <w:shd w:val="clear" w:color="auto" w:fill="auto"/>
            <w:noWrap/>
            <w:vAlign w:val="center"/>
            <w:hideMark/>
          </w:tcPr>
          <w:p w14:paraId="5CA0E3B3" w14:textId="0213CEA6" w:rsidR="00F4156F" w:rsidRPr="00084C85" w:rsidRDefault="00F4156F"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cover.csv</w:t>
            </w:r>
          </w:p>
        </w:tc>
        <w:tc>
          <w:tcPr>
            <w:tcW w:w="5671" w:type="dxa"/>
            <w:vAlign w:val="center"/>
          </w:tcPr>
          <w:p w14:paraId="54562F2D" w14:textId="11117848" w:rsidR="00F4156F" w:rsidRPr="00C5489A" w:rsidRDefault="00691265" w:rsidP="007A29CB">
            <w:pPr>
              <w:spacing w:after="0" w:line="240" w:lineRule="auto"/>
              <w:rPr>
                <w:rFonts w:ascii="Aptos Narrow" w:eastAsia="Times New Roman" w:hAnsi="Aptos Narrow" w:cs="Times New Roman"/>
                <w:color w:val="000000"/>
                <w:kern w:val="0"/>
                <w:lang w:eastAsia="en-GB"/>
                <w14:ligatures w14:val="none"/>
              </w:rPr>
            </w:pPr>
            <w:r w:rsidRPr="00691265">
              <w:rPr>
                <w:rFonts w:ascii="Aptos Narrow" w:eastAsia="Times New Roman" w:hAnsi="Aptos Narrow" w:cs="Times New Roman"/>
                <w:color w:val="000000"/>
                <w:kern w:val="0"/>
                <w:lang w:eastAsia="en-GB"/>
                <w14:ligatures w14:val="none"/>
              </w:rPr>
              <w:t>Percentage ground cover by vegetation, litter and bare ground. It can sum up to more than 100% when there is overlapping cover</w:t>
            </w:r>
            <w:r>
              <w:rPr>
                <w:rFonts w:ascii="Aptos Narrow" w:eastAsia="Times New Roman" w:hAnsi="Aptos Narrow" w:cs="Times New Roman"/>
                <w:color w:val="000000"/>
                <w:kern w:val="0"/>
                <w:lang w:eastAsia="en-GB"/>
                <w14:ligatures w14:val="none"/>
              </w:rPr>
              <w:t>.</w:t>
            </w:r>
          </w:p>
        </w:tc>
      </w:tr>
      <w:tr w:rsidR="00F4156F" w:rsidRPr="00C5489A" w14:paraId="2BE42EB9" w14:textId="3F0C9BEC" w:rsidTr="007A29CB">
        <w:trPr>
          <w:trHeight w:val="300"/>
        </w:trPr>
        <w:tc>
          <w:tcPr>
            <w:tcW w:w="2976" w:type="dxa"/>
            <w:shd w:val="clear" w:color="auto" w:fill="auto"/>
            <w:noWrap/>
            <w:vAlign w:val="center"/>
            <w:hideMark/>
          </w:tcPr>
          <w:p w14:paraId="3E7865BF" w14:textId="4CEB61C3" w:rsidR="00F4156F" w:rsidRPr="00084C85" w:rsidRDefault="00F4156F"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cover_meta.csv</w:t>
            </w:r>
          </w:p>
        </w:tc>
        <w:tc>
          <w:tcPr>
            <w:tcW w:w="5671" w:type="dxa"/>
            <w:vAlign w:val="center"/>
          </w:tcPr>
          <w:p w14:paraId="61C68B4B" w14:textId="4655DCF6" w:rsidR="00F4156F" w:rsidRPr="00C5489A" w:rsidRDefault="00F4156F"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Meta-data for cover.csv</w:t>
            </w:r>
          </w:p>
        </w:tc>
      </w:tr>
      <w:tr w:rsidR="00F4156F" w:rsidRPr="00C5489A" w14:paraId="3AED57DA" w14:textId="7721713E" w:rsidTr="007A29CB">
        <w:trPr>
          <w:trHeight w:val="300"/>
        </w:trPr>
        <w:tc>
          <w:tcPr>
            <w:tcW w:w="2976" w:type="dxa"/>
            <w:shd w:val="clear" w:color="auto" w:fill="auto"/>
            <w:noWrap/>
            <w:vAlign w:val="center"/>
            <w:hideMark/>
          </w:tcPr>
          <w:p w14:paraId="6BE13CFB" w14:textId="77777777" w:rsidR="00F4156F" w:rsidRPr="00084C85" w:rsidRDefault="00F4156F"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denitrification.csv</w:t>
            </w:r>
          </w:p>
        </w:tc>
        <w:tc>
          <w:tcPr>
            <w:tcW w:w="5671" w:type="dxa"/>
            <w:vAlign w:val="center"/>
          </w:tcPr>
          <w:p w14:paraId="590251F4" w14:textId="7817DCC7" w:rsidR="00F4156F" w:rsidRPr="00C5489A" w:rsidRDefault="00F4156F"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Denitrification rate measurements and associated data</w:t>
            </w:r>
          </w:p>
        </w:tc>
      </w:tr>
      <w:tr w:rsidR="00F4156F" w:rsidRPr="00C5489A" w14:paraId="248D7810" w14:textId="4CA8F667" w:rsidTr="007A29CB">
        <w:trPr>
          <w:trHeight w:val="300"/>
        </w:trPr>
        <w:tc>
          <w:tcPr>
            <w:tcW w:w="2976" w:type="dxa"/>
            <w:shd w:val="clear" w:color="auto" w:fill="auto"/>
            <w:noWrap/>
            <w:vAlign w:val="center"/>
            <w:hideMark/>
          </w:tcPr>
          <w:p w14:paraId="3E502AF9" w14:textId="77777777" w:rsidR="00F4156F" w:rsidRPr="00084C85" w:rsidRDefault="00F4156F"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denitrification_meta.csv</w:t>
            </w:r>
          </w:p>
        </w:tc>
        <w:tc>
          <w:tcPr>
            <w:tcW w:w="5671" w:type="dxa"/>
            <w:vAlign w:val="center"/>
          </w:tcPr>
          <w:p w14:paraId="09019C8C" w14:textId="467DBEB8" w:rsidR="00F4156F" w:rsidRPr="00C5489A" w:rsidRDefault="00F4156F"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Meta-data for denitrification.csv</w:t>
            </w:r>
          </w:p>
        </w:tc>
      </w:tr>
      <w:tr w:rsidR="00F4156F" w:rsidRPr="00C5489A" w14:paraId="74D633EA" w14:textId="09CD9986" w:rsidTr="007A29CB">
        <w:trPr>
          <w:trHeight w:val="300"/>
        </w:trPr>
        <w:tc>
          <w:tcPr>
            <w:tcW w:w="2976" w:type="dxa"/>
            <w:shd w:val="clear" w:color="auto" w:fill="auto"/>
            <w:noWrap/>
            <w:vAlign w:val="center"/>
            <w:hideMark/>
          </w:tcPr>
          <w:p w14:paraId="5E300FAC" w14:textId="77777777" w:rsidR="00F4156F" w:rsidRPr="00084C85" w:rsidRDefault="00F4156F"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loi.csv</w:t>
            </w:r>
          </w:p>
        </w:tc>
        <w:tc>
          <w:tcPr>
            <w:tcW w:w="5671" w:type="dxa"/>
            <w:vAlign w:val="center"/>
          </w:tcPr>
          <w:p w14:paraId="2F876553" w14:textId="0BAC65BC" w:rsidR="00F4156F" w:rsidRPr="00C5489A" w:rsidRDefault="00F4156F"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Loss-on-ignition and bulk density measures</w:t>
            </w:r>
          </w:p>
        </w:tc>
      </w:tr>
      <w:tr w:rsidR="00F4156F" w:rsidRPr="00C5489A" w14:paraId="09C0EE8F" w14:textId="140F73A3" w:rsidTr="007A29CB">
        <w:trPr>
          <w:trHeight w:val="300"/>
        </w:trPr>
        <w:tc>
          <w:tcPr>
            <w:tcW w:w="2976" w:type="dxa"/>
            <w:shd w:val="clear" w:color="auto" w:fill="auto"/>
            <w:noWrap/>
            <w:vAlign w:val="center"/>
            <w:hideMark/>
          </w:tcPr>
          <w:p w14:paraId="58929091" w14:textId="77777777" w:rsidR="00F4156F" w:rsidRPr="00084C85" w:rsidRDefault="00F4156F"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loi_meta.csv</w:t>
            </w:r>
          </w:p>
        </w:tc>
        <w:tc>
          <w:tcPr>
            <w:tcW w:w="5671" w:type="dxa"/>
            <w:vAlign w:val="center"/>
          </w:tcPr>
          <w:p w14:paraId="2FD3E751" w14:textId="6FC78EE6" w:rsidR="00F4156F" w:rsidRPr="00C5489A" w:rsidRDefault="00F4156F"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Meta-data for loi.csv</w:t>
            </w:r>
          </w:p>
        </w:tc>
      </w:tr>
      <w:tr w:rsidR="00084C85" w:rsidRPr="00C5489A" w14:paraId="4D512AB5" w14:textId="0EF4B44E" w:rsidTr="007A29CB">
        <w:trPr>
          <w:trHeight w:val="300"/>
        </w:trPr>
        <w:tc>
          <w:tcPr>
            <w:tcW w:w="2976" w:type="dxa"/>
            <w:shd w:val="clear" w:color="auto" w:fill="auto"/>
            <w:noWrap/>
            <w:vAlign w:val="center"/>
            <w:hideMark/>
          </w:tcPr>
          <w:p w14:paraId="5D562834" w14:textId="77777777" w:rsidR="00084C85" w:rsidRPr="00084C85" w:rsidRDefault="00084C85"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porewater.csv</w:t>
            </w:r>
          </w:p>
        </w:tc>
        <w:tc>
          <w:tcPr>
            <w:tcW w:w="5671" w:type="dxa"/>
            <w:vAlign w:val="center"/>
          </w:tcPr>
          <w:p w14:paraId="5CB5C171" w14:textId="33591882" w:rsidR="00084C85" w:rsidRPr="00C5489A" w:rsidRDefault="002A34A1" w:rsidP="007A29CB">
            <w:pPr>
              <w:spacing w:line="240" w:lineRule="auto"/>
              <w:rPr>
                <w:rFonts w:ascii="Aptos Narrow" w:hAnsi="Aptos Narrow" w:cs="Calibri"/>
                <w:color w:val="000000"/>
              </w:rPr>
            </w:pPr>
            <w:r w:rsidRPr="00C5489A">
              <w:rPr>
                <w:rFonts w:ascii="Aptos Narrow" w:hAnsi="Aptos Narrow" w:cs="Calibri"/>
                <w:color w:val="000000"/>
              </w:rPr>
              <w:t xml:space="preserve">Nutrient </w:t>
            </w:r>
            <w:r w:rsidR="004B3782" w:rsidRPr="00C5489A">
              <w:rPr>
                <w:rFonts w:ascii="Aptos Narrow" w:hAnsi="Aptos Narrow" w:cs="Calibri"/>
                <w:color w:val="000000"/>
              </w:rPr>
              <w:t>(NO</w:t>
            </w:r>
            <w:r w:rsidR="004B3782" w:rsidRPr="00C5489A">
              <w:rPr>
                <w:rFonts w:ascii="Aptos Narrow" w:hAnsi="Aptos Narrow" w:cs="Calibri"/>
                <w:color w:val="000000"/>
                <w:vertAlign w:val="subscript"/>
              </w:rPr>
              <w:t>2</w:t>
            </w:r>
            <w:r w:rsidR="004B3782" w:rsidRPr="00C5489A">
              <w:rPr>
                <w:rFonts w:ascii="Aptos Narrow" w:hAnsi="Aptos Narrow" w:cs="Calibri"/>
                <w:color w:val="000000"/>
              </w:rPr>
              <w:t>, NO</w:t>
            </w:r>
            <w:r w:rsidR="004B3782" w:rsidRPr="00C5489A">
              <w:rPr>
                <w:rFonts w:ascii="Aptos Narrow" w:hAnsi="Aptos Narrow" w:cs="Calibri"/>
                <w:color w:val="000000"/>
                <w:vertAlign w:val="subscript"/>
              </w:rPr>
              <w:t>3</w:t>
            </w:r>
            <w:r w:rsidR="004B3782" w:rsidRPr="00C5489A">
              <w:rPr>
                <w:rFonts w:ascii="Aptos Narrow" w:hAnsi="Aptos Narrow" w:cs="Calibri"/>
                <w:color w:val="000000"/>
              </w:rPr>
              <w:t>, NH</w:t>
            </w:r>
            <w:r w:rsidR="004B3782" w:rsidRPr="00C5489A">
              <w:rPr>
                <w:rFonts w:ascii="Aptos Narrow" w:hAnsi="Aptos Narrow" w:cs="Calibri"/>
                <w:color w:val="000000"/>
                <w:vertAlign w:val="subscript"/>
              </w:rPr>
              <w:t>4</w:t>
            </w:r>
            <w:r w:rsidR="004B3782" w:rsidRPr="00C5489A">
              <w:rPr>
                <w:rFonts w:ascii="Aptos Narrow" w:hAnsi="Aptos Narrow" w:cs="Calibri"/>
                <w:color w:val="000000"/>
              </w:rPr>
              <w:t>, PO</w:t>
            </w:r>
            <w:r w:rsidR="004B3782" w:rsidRPr="00C5489A">
              <w:rPr>
                <w:rFonts w:ascii="Aptos Narrow" w:hAnsi="Aptos Narrow" w:cs="Calibri"/>
                <w:color w:val="000000"/>
                <w:vertAlign w:val="subscript"/>
              </w:rPr>
              <w:t>4</w:t>
            </w:r>
            <w:r w:rsidR="004B3782" w:rsidRPr="00C5489A">
              <w:rPr>
                <w:rFonts w:ascii="Aptos Narrow" w:hAnsi="Aptos Narrow" w:cs="Calibri"/>
                <w:color w:val="000000"/>
              </w:rPr>
              <w:t xml:space="preserve">) </w:t>
            </w:r>
            <w:r w:rsidRPr="00C5489A">
              <w:rPr>
                <w:rFonts w:ascii="Aptos Narrow" w:hAnsi="Aptos Narrow" w:cs="Calibri"/>
                <w:color w:val="000000"/>
              </w:rPr>
              <w:t>contents in soil</w:t>
            </w:r>
            <w:r w:rsidR="009B2429">
              <w:rPr>
                <w:rFonts w:ascii="Aptos Narrow" w:hAnsi="Aptos Narrow" w:cs="Calibri"/>
                <w:color w:val="000000"/>
              </w:rPr>
              <w:t>/sediment</w:t>
            </w:r>
            <w:r w:rsidRPr="00C5489A">
              <w:rPr>
                <w:rFonts w:ascii="Aptos Narrow" w:hAnsi="Aptos Narrow" w:cs="Calibri"/>
                <w:color w:val="000000"/>
              </w:rPr>
              <w:t xml:space="preserve"> porewater </w:t>
            </w:r>
          </w:p>
        </w:tc>
      </w:tr>
      <w:tr w:rsidR="00084C85" w:rsidRPr="00C5489A" w14:paraId="612107F2" w14:textId="01EE016E" w:rsidTr="007A29CB">
        <w:trPr>
          <w:trHeight w:val="300"/>
        </w:trPr>
        <w:tc>
          <w:tcPr>
            <w:tcW w:w="2976" w:type="dxa"/>
            <w:shd w:val="clear" w:color="auto" w:fill="auto"/>
            <w:noWrap/>
            <w:vAlign w:val="center"/>
            <w:hideMark/>
          </w:tcPr>
          <w:p w14:paraId="3DE04E1A" w14:textId="77777777" w:rsidR="00084C85" w:rsidRPr="00084C85" w:rsidRDefault="00084C85"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porewater_meta.csv</w:t>
            </w:r>
          </w:p>
        </w:tc>
        <w:tc>
          <w:tcPr>
            <w:tcW w:w="5671" w:type="dxa"/>
            <w:vAlign w:val="center"/>
          </w:tcPr>
          <w:p w14:paraId="22B99D26" w14:textId="775FB895" w:rsidR="00084C85" w:rsidRPr="00C5489A" w:rsidRDefault="003E6A16"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Meta-data for porewater.csv</w:t>
            </w:r>
          </w:p>
        </w:tc>
      </w:tr>
      <w:tr w:rsidR="00084C85" w:rsidRPr="00C5489A" w14:paraId="270687A7" w14:textId="5CC0CF4D" w:rsidTr="007A29CB">
        <w:trPr>
          <w:trHeight w:val="300"/>
        </w:trPr>
        <w:tc>
          <w:tcPr>
            <w:tcW w:w="2976" w:type="dxa"/>
            <w:shd w:val="clear" w:color="auto" w:fill="auto"/>
            <w:noWrap/>
            <w:vAlign w:val="center"/>
            <w:hideMark/>
          </w:tcPr>
          <w:p w14:paraId="4B3ABA36" w14:textId="77777777" w:rsidR="00084C85" w:rsidRPr="00084C85" w:rsidRDefault="00084C85"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quadrat.csv</w:t>
            </w:r>
          </w:p>
        </w:tc>
        <w:tc>
          <w:tcPr>
            <w:tcW w:w="5671" w:type="dxa"/>
            <w:vAlign w:val="center"/>
          </w:tcPr>
          <w:p w14:paraId="6BDD9DDA" w14:textId="72ABE1EA" w:rsidR="00EA3502" w:rsidRPr="00C5489A" w:rsidRDefault="00EA3502" w:rsidP="007A29CB">
            <w:pPr>
              <w:spacing w:line="240" w:lineRule="auto"/>
              <w:rPr>
                <w:rFonts w:ascii="Aptos Narrow" w:hAnsi="Aptos Narrow" w:cs="Calibri"/>
                <w:color w:val="000000"/>
              </w:rPr>
            </w:pPr>
            <w:r w:rsidRPr="00EA3502">
              <w:rPr>
                <w:rFonts w:ascii="Aptos Narrow" w:hAnsi="Aptos Narrow" w:cs="Calibri"/>
                <w:color w:val="000000"/>
              </w:rPr>
              <w:t>Information from 5 quadrats taken per habitat (seagrass and mudflat) and site (2 sites per each of 6 coastal locations).</w:t>
            </w:r>
          </w:p>
        </w:tc>
      </w:tr>
      <w:tr w:rsidR="00084C85" w:rsidRPr="00C5489A" w14:paraId="45B14E9D" w14:textId="52C920B9" w:rsidTr="007A29CB">
        <w:trPr>
          <w:trHeight w:val="300"/>
        </w:trPr>
        <w:tc>
          <w:tcPr>
            <w:tcW w:w="2976" w:type="dxa"/>
            <w:shd w:val="clear" w:color="auto" w:fill="auto"/>
            <w:noWrap/>
            <w:vAlign w:val="center"/>
            <w:hideMark/>
          </w:tcPr>
          <w:p w14:paraId="408EE9EF" w14:textId="77777777" w:rsidR="00084C85" w:rsidRPr="00084C85" w:rsidRDefault="00084C85"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quadrat_meta.csv</w:t>
            </w:r>
          </w:p>
        </w:tc>
        <w:tc>
          <w:tcPr>
            <w:tcW w:w="5671" w:type="dxa"/>
            <w:vAlign w:val="center"/>
          </w:tcPr>
          <w:p w14:paraId="08F93333" w14:textId="03205E08" w:rsidR="00084C85" w:rsidRPr="00C5489A" w:rsidRDefault="00933922"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Meta-data for quadrat.csv</w:t>
            </w:r>
          </w:p>
        </w:tc>
      </w:tr>
      <w:tr w:rsidR="00084C85" w:rsidRPr="00C5489A" w14:paraId="2FD8D0E2" w14:textId="5C693B3D" w:rsidTr="007A29CB">
        <w:trPr>
          <w:trHeight w:val="300"/>
        </w:trPr>
        <w:tc>
          <w:tcPr>
            <w:tcW w:w="2976" w:type="dxa"/>
            <w:shd w:val="clear" w:color="auto" w:fill="auto"/>
            <w:noWrap/>
            <w:vAlign w:val="center"/>
            <w:hideMark/>
          </w:tcPr>
          <w:p w14:paraId="3E21C03E" w14:textId="77777777" w:rsidR="00084C85" w:rsidRPr="00084C85" w:rsidRDefault="00084C85"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seawater.csv</w:t>
            </w:r>
          </w:p>
        </w:tc>
        <w:tc>
          <w:tcPr>
            <w:tcW w:w="5671" w:type="dxa"/>
            <w:vAlign w:val="center"/>
          </w:tcPr>
          <w:p w14:paraId="4C127E3B" w14:textId="032F4EDF" w:rsidR="00084C85" w:rsidRPr="00C5489A" w:rsidRDefault="004B3782" w:rsidP="007A29CB">
            <w:pPr>
              <w:spacing w:line="240" w:lineRule="auto"/>
              <w:rPr>
                <w:rFonts w:ascii="Aptos Narrow" w:hAnsi="Aptos Narrow" w:cs="Calibri"/>
                <w:color w:val="000000"/>
              </w:rPr>
            </w:pPr>
            <w:r w:rsidRPr="00C5489A">
              <w:rPr>
                <w:rFonts w:ascii="Aptos Narrow" w:hAnsi="Aptos Narrow" w:cs="Calibri"/>
                <w:color w:val="000000"/>
              </w:rPr>
              <w:t>Nutrient (NO</w:t>
            </w:r>
            <w:r w:rsidRPr="00C5489A">
              <w:rPr>
                <w:rFonts w:ascii="Aptos Narrow" w:hAnsi="Aptos Narrow" w:cs="Calibri"/>
                <w:color w:val="000000"/>
                <w:vertAlign w:val="subscript"/>
              </w:rPr>
              <w:t>2</w:t>
            </w:r>
            <w:r w:rsidRPr="00C5489A">
              <w:rPr>
                <w:rFonts w:ascii="Aptos Narrow" w:hAnsi="Aptos Narrow" w:cs="Calibri"/>
                <w:color w:val="000000"/>
              </w:rPr>
              <w:t>, NO</w:t>
            </w:r>
            <w:r w:rsidRPr="00C5489A">
              <w:rPr>
                <w:rFonts w:ascii="Aptos Narrow" w:hAnsi="Aptos Narrow" w:cs="Calibri"/>
                <w:color w:val="000000"/>
                <w:vertAlign w:val="subscript"/>
              </w:rPr>
              <w:t>3</w:t>
            </w:r>
            <w:r w:rsidRPr="00C5489A">
              <w:rPr>
                <w:rFonts w:ascii="Aptos Narrow" w:hAnsi="Aptos Narrow" w:cs="Calibri"/>
                <w:color w:val="000000"/>
              </w:rPr>
              <w:t>, NH</w:t>
            </w:r>
            <w:r w:rsidRPr="00C5489A">
              <w:rPr>
                <w:rFonts w:ascii="Aptos Narrow" w:hAnsi="Aptos Narrow" w:cs="Calibri"/>
                <w:color w:val="000000"/>
                <w:vertAlign w:val="subscript"/>
              </w:rPr>
              <w:t>4</w:t>
            </w:r>
            <w:r w:rsidRPr="00C5489A">
              <w:rPr>
                <w:rFonts w:ascii="Aptos Narrow" w:hAnsi="Aptos Narrow" w:cs="Calibri"/>
                <w:color w:val="000000"/>
              </w:rPr>
              <w:t>,</w:t>
            </w:r>
            <w:r w:rsidRPr="00F47DEE">
              <w:rPr>
                <w:rFonts w:ascii="Aptos Narrow" w:hAnsi="Aptos Narrow" w:cs="Calibri"/>
                <w:color w:val="000000"/>
              </w:rPr>
              <w:t xml:space="preserve"> PO</w:t>
            </w:r>
            <w:r w:rsidRPr="00F47DEE">
              <w:rPr>
                <w:rFonts w:ascii="Aptos Narrow" w:hAnsi="Aptos Narrow" w:cs="Calibri"/>
                <w:color w:val="000000"/>
                <w:vertAlign w:val="subscript"/>
              </w:rPr>
              <w:t>4</w:t>
            </w:r>
            <w:r w:rsidRPr="00F47DEE">
              <w:rPr>
                <w:rFonts w:ascii="Aptos Narrow" w:hAnsi="Aptos Narrow" w:cs="Calibri"/>
                <w:color w:val="000000"/>
              </w:rPr>
              <w:t xml:space="preserve">) contents in seawater. </w:t>
            </w:r>
            <w:r w:rsidR="006B2BCE" w:rsidRPr="00F47DEE">
              <w:rPr>
                <w:rFonts w:ascii="Aptos Narrow" w:hAnsi="Aptos Narrow" w:cs="Calibri"/>
                <w:color w:val="000000"/>
              </w:rPr>
              <w:t>Averag</w:t>
            </w:r>
            <w:r w:rsidR="00F47DEE" w:rsidRPr="00F47DEE">
              <w:rPr>
                <w:rFonts w:ascii="Aptos Narrow" w:hAnsi="Aptos Narrow" w:cs="Calibri"/>
                <w:color w:val="000000"/>
              </w:rPr>
              <w:t>es f</w:t>
            </w:r>
            <w:r w:rsidRPr="00F47DEE">
              <w:rPr>
                <w:rFonts w:ascii="Aptos Narrow" w:hAnsi="Aptos Narrow" w:cs="Calibri"/>
                <w:color w:val="000000"/>
              </w:rPr>
              <w:t xml:space="preserve">rom </w:t>
            </w:r>
            <w:r w:rsidR="00F47DEE" w:rsidRPr="00F47DEE">
              <w:rPr>
                <w:rFonts w:ascii="Aptos Narrow" w:hAnsi="Aptos Narrow" w:cs="Calibri"/>
                <w:color w:val="000000"/>
              </w:rPr>
              <w:t xml:space="preserve">two samples taken per sites </w:t>
            </w:r>
            <w:r w:rsidR="00F47DEE" w:rsidRPr="00F47DEE">
              <w:rPr>
                <w:rFonts w:ascii="Aptos Narrow" w:hAnsi="Aptos Narrow"/>
              </w:rPr>
              <w:t>approximately 1</w:t>
            </w:r>
            <w:r w:rsidR="00F47DEE" w:rsidRPr="00F47DEE">
              <w:rPr>
                <w:rFonts w:ascii="Aptos Narrow" w:hAnsi="Aptos Narrow" w:cs="Arial"/>
                <w:color w:val="1F1F1F"/>
                <w:szCs w:val="24"/>
              </w:rPr>
              <w:t xml:space="preserve"> –</w:t>
            </w:r>
            <w:r w:rsidR="00F47DEE" w:rsidRPr="00F47DEE">
              <w:rPr>
                <w:rFonts w:ascii="Aptos Narrow" w:hAnsi="Aptos Narrow" w:cs="Arial"/>
                <w:szCs w:val="24"/>
              </w:rPr>
              <w:t xml:space="preserve"> </w:t>
            </w:r>
            <w:r w:rsidR="00F47DEE" w:rsidRPr="00F47DEE">
              <w:rPr>
                <w:rFonts w:ascii="Aptos Narrow" w:hAnsi="Aptos Narrow"/>
              </w:rPr>
              <w:t>2 hours either side of high tide</w:t>
            </w:r>
            <w:r w:rsidR="00F47DEE" w:rsidRPr="00F47DEE">
              <w:rPr>
                <w:rFonts w:ascii="Aptos Narrow" w:hAnsi="Aptos Narrow"/>
              </w:rPr>
              <w:t>.</w:t>
            </w:r>
            <w:r w:rsidRPr="00C5489A">
              <w:rPr>
                <w:rFonts w:ascii="Aptos Narrow" w:hAnsi="Aptos Narrow" w:cs="Calibri"/>
                <w:color w:val="000000"/>
              </w:rPr>
              <w:t xml:space="preserve"> </w:t>
            </w:r>
          </w:p>
        </w:tc>
      </w:tr>
      <w:tr w:rsidR="00084C85" w:rsidRPr="00C5489A" w14:paraId="3A97F752" w14:textId="05416B51" w:rsidTr="007A29CB">
        <w:trPr>
          <w:trHeight w:val="300"/>
        </w:trPr>
        <w:tc>
          <w:tcPr>
            <w:tcW w:w="2976" w:type="dxa"/>
            <w:shd w:val="clear" w:color="auto" w:fill="auto"/>
            <w:noWrap/>
            <w:vAlign w:val="center"/>
            <w:hideMark/>
          </w:tcPr>
          <w:p w14:paraId="2BD23715" w14:textId="77777777" w:rsidR="00084C85" w:rsidRPr="00084C85" w:rsidRDefault="00084C85"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seawater_meta.csv</w:t>
            </w:r>
          </w:p>
        </w:tc>
        <w:tc>
          <w:tcPr>
            <w:tcW w:w="5671" w:type="dxa"/>
            <w:vAlign w:val="center"/>
          </w:tcPr>
          <w:p w14:paraId="39BEAA70" w14:textId="26B4EDA0" w:rsidR="00084C85" w:rsidRPr="00C5489A" w:rsidRDefault="004B3782"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Meta-data for seawater.csv</w:t>
            </w:r>
          </w:p>
        </w:tc>
      </w:tr>
      <w:tr w:rsidR="00EB074F" w:rsidRPr="00C5489A" w14:paraId="59CABD26" w14:textId="77777777" w:rsidTr="007A29CB">
        <w:trPr>
          <w:trHeight w:val="300"/>
        </w:trPr>
        <w:tc>
          <w:tcPr>
            <w:tcW w:w="2976" w:type="dxa"/>
            <w:shd w:val="clear" w:color="auto" w:fill="auto"/>
            <w:noWrap/>
            <w:vAlign w:val="center"/>
          </w:tcPr>
          <w:p w14:paraId="2F85E6A7" w14:textId="14F8168D" w:rsidR="00EB074F" w:rsidRPr="00084C85" w:rsidRDefault="00EB074F" w:rsidP="007A29CB">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shoot_length.csv</w:t>
            </w:r>
          </w:p>
        </w:tc>
        <w:tc>
          <w:tcPr>
            <w:tcW w:w="5671" w:type="dxa"/>
            <w:vAlign w:val="center"/>
          </w:tcPr>
          <w:p w14:paraId="3EEE5F4C" w14:textId="141A8706" w:rsidR="00EB074F" w:rsidRPr="00C5489A" w:rsidRDefault="00C5176F" w:rsidP="007A29CB">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Seagrass s</w:t>
            </w:r>
            <w:r w:rsidRPr="00C5176F">
              <w:rPr>
                <w:rFonts w:ascii="Aptos Narrow" w:eastAsia="Times New Roman" w:hAnsi="Aptos Narrow" w:cs="Times New Roman"/>
                <w:color w:val="000000"/>
                <w:kern w:val="0"/>
                <w:lang w:eastAsia="en-GB"/>
                <w14:ligatures w14:val="none"/>
              </w:rPr>
              <w:t>hoot length. Measured in 2 to 6 shoots within each quadrat at seagrass habitat</w:t>
            </w:r>
          </w:p>
        </w:tc>
      </w:tr>
      <w:tr w:rsidR="00EB074F" w:rsidRPr="00C5489A" w14:paraId="0FEC72AF" w14:textId="77777777" w:rsidTr="007A29CB">
        <w:trPr>
          <w:trHeight w:val="300"/>
        </w:trPr>
        <w:tc>
          <w:tcPr>
            <w:tcW w:w="2976" w:type="dxa"/>
            <w:shd w:val="clear" w:color="auto" w:fill="auto"/>
            <w:noWrap/>
            <w:vAlign w:val="center"/>
          </w:tcPr>
          <w:p w14:paraId="4ED758D0" w14:textId="05C2333F" w:rsidR="00EB074F" w:rsidRPr="00084C85" w:rsidRDefault="00C5176F" w:rsidP="007A29CB">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shoot_length_meta.csv</w:t>
            </w:r>
          </w:p>
        </w:tc>
        <w:tc>
          <w:tcPr>
            <w:tcW w:w="5671" w:type="dxa"/>
            <w:vAlign w:val="center"/>
          </w:tcPr>
          <w:p w14:paraId="36770AF7" w14:textId="6657EA5A" w:rsidR="00EB074F" w:rsidRPr="00C5489A" w:rsidRDefault="00C5176F" w:rsidP="007A29CB">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Meta-data for shoot_</w:t>
            </w:r>
            <w:r w:rsidR="003A1C08">
              <w:rPr>
                <w:rFonts w:ascii="Aptos Narrow" w:eastAsia="Times New Roman" w:hAnsi="Aptos Narrow" w:cs="Times New Roman"/>
                <w:color w:val="000000"/>
                <w:kern w:val="0"/>
                <w:lang w:eastAsia="en-GB"/>
                <w14:ligatures w14:val="none"/>
              </w:rPr>
              <w:t>length.csv</w:t>
            </w:r>
          </w:p>
        </w:tc>
      </w:tr>
      <w:tr w:rsidR="00084C85" w:rsidRPr="00C5489A" w14:paraId="2B0D6DB0" w14:textId="3DCC5217" w:rsidTr="007A29CB">
        <w:trPr>
          <w:trHeight w:val="300"/>
        </w:trPr>
        <w:tc>
          <w:tcPr>
            <w:tcW w:w="2976" w:type="dxa"/>
            <w:shd w:val="clear" w:color="auto" w:fill="auto"/>
            <w:noWrap/>
            <w:vAlign w:val="center"/>
            <w:hideMark/>
          </w:tcPr>
          <w:p w14:paraId="72F7E4B2" w14:textId="77777777" w:rsidR="00084C85" w:rsidRPr="00084C85" w:rsidRDefault="00084C85"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species_composition.csv</w:t>
            </w:r>
          </w:p>
        </w:tc>
        <w:tc>
          <w:tcPr>
            <w:tcW w:w="5671" w:type="dxa"/>
            <w:vAlign w:val="center"/>
          </w:tcPr>
          <w:p w14:paraId="627609D4" w14:textId="513ADA4E" w:rsidR="003A1C08" w:rsidRPr="00C5489A" w:rsidRDefault="003A1C08" w:rsidP="007A29CB">
            <w:pPr>
              <w:spacing w:line="240" w:lineRule="auto"/>
              <w:rPr>
                <w:rFonts w:ascii="Aptos Narrow" w:eastAsia="Times New Roman" w:hAnsi="Aptos Narrow" w:cs="Times New Roman"/>
                <w:color w:val="000000"/>
                <w:kern w:val="0"/>
                <w:lang w:eastAsia="en-GB"/>
                <w14:ligatures w14:val="none"/>
              </w:rPr>
            </w:pPr>
            <w:r w:rsidRPr="003A1C08">
              <w:rPr>
                <w:rFonts w:ascii="Aptos Narrow" w:eastAsia="Times New Roman" w:hAnsi="Aptos Narrow" w:cs="Times New Roman"/>
                <w:color w:val="000000"/>
                <w:kern w:val="0"/>
                <w:lang w:eastAsia="en-GB"/>
                <w14:ligatures w14:val="none"/>
              </w:rPr>
              <w:t xml:space="preserve">Percentage ground cover by plant and algae species.  </w:t>
            </w:r>
          </w:p>
        </w:tc>
      </w:tr>
      <w:tr w:rsidR="00084C85" w:rsidRPr="00C5489A" w14:paraId="50CD9D0A" w14:textId="06D90920" w:rsidTr="007A29CB">
        <w:trPr>
          <w:trHeight w:val="300"/>
        </w:trPr>
        <w:tc>
          <w:tcPr>
            <w:tcW w:w="2976" w:type="dxa"/>
            <w:shd w:val="clear" w:color="auto" w:fill="auto"/>
            <w:noWrap/>
            <w:vAlign w:val="center"/>
            <w:hideMark/>
          </w:tcPr>
          <w:p w14:paraId="3D35B781" w14:textId="77777777" w:rsidR="00084C85" w:rsidRPr="00084C85" w:rsidRDefault="00084C85" w:rsidP="007A29CB">
            <w:pPr>
              <w:spacing w:after="0" w:line="240" w:lineRule="auto"/>
              <w:rPr>
                <w:rFonts w:ascii="Aptos Narrow" w:eastAsia="Times New Roman" w:hAnsi="Aptos Narrow" w:cs="Times New Roman"/>
                <w:color w:val="000000"/>
                <w:kern w:val="0"/>
                <w:lang w:eastAsia="en-GB"/>
                <w14:ligatures w14:val="none"/>
              </w:rPr>
            </w:pPr>
            <w:r w:rsidRPr="00084C85">
              <w:rPr>
                <w:rFonts w:ascii="Aptos Narrow" w:eastAsia="Times New Roman" w:hAnsi="Aptos Narrow" w:cs="Times New Roman"/>
                <w:color w:val="000000"/>
                <w:kern w:val="0"/>
                <w:lang w:eastAsia="en-GB"/>
                <w14:ligatures w14:val="none"/>
              </w:rPr>
              <w:t>species_composition_meta.csv</w:t>
            </w:r>
          </w:p>
        </w:tc>
        <w:tc>
          <w:tcPr>
            <w:tcW w:w="5671" w:type="dxa"/>
            <w:vAlign w:val="center"/>
          </w:tcPr>
          <w:p w14:paraId="4F3FBBA2" w14:textId="233ED0C9" w:rsidR="00084C85" w:rsidRPr="00C5489A" w:rsidRDefault="00374E9D" w:rsidP="007A29CB">
            <w:pPr>
              <w:spacing w:after="0" w:line="240" w:lineRule="auto"/>
              <w:rPr>
                <w:rFonts w:ascii="Aptos Narrow" w:eastAsia="Times New Roman" w:hAnsi="Aptos Narrow" w:cs="Times New Roman"/>
                <w:color w:val="000000"/>
                <w:kern w:val="0"/>
                <w:lang w:eastAsia="en-GB"/>
                <w14:ligatures w14:val="none"/>
              </w:rPr>
            </w:pPr>
            <w:r w:rsidRPr="00C5489A">
              <w:rPr>
                <w:rFonts w:ascii="Aptos Narrow" w:eastAsia="Times New Roman" w:hAnsi="Aptos Narrow" w:cs="Times New Roman"/>
                <w:color w:val="000000"/>
                <w:kern w:val="0"/>
                <w:lang w:eastAsia="en-GB"/>
                <w14:ligatures w14:val="none"/>
              </w:rPr>
              <w:t xml:space="preserve">Meta-data for </w:t>
            </w:r>
            <w:r w:rsidR="00DD5C4A" w:rsidRPr="00C5489A">
              <w:rPr>
                <w:rFonts w:ascii="Aptos Narrow" w:eastAsia="Times New Roman" w:hAnsi="Aptos Narrow" w:cs="Times New Roman"/>
                <w:color w:val="000000"/>
                <w:kern w:val="0"/>
                <w:lang w:eastAsia="en-GB"/>
                <w14:ligatures w14:val="none"/>
              </w:rPr>
              <w:t>species_composition.csv</w:t>
            </w:r>
          </w:p>
        </w:tc>
      </w:tr>
    </w:tbl>
    <w:p w14:paraId="7A683C84" w14:textId="77777777" w:rsidR="00084C85" w:rsidRDefault="00084C85" w:rsidP="00337F8C"/>
    <w:p w14:paraId="1EC82469" w14:textId="77777777" w:rsidR="00337F8C" w:rsidRDefault="00337F8C" w:rsidP="00337F8C"/>
    <w:p w14:paraId="5C87349E" w14:textId="278A8AA7" w:rsidR="00E46942" w:rsidRPr="00337F8C" w:rsidRDefault="00874384" w:rsidP="00874384">
      <w:pPr>
        <w:pStyle w:val="Heading2"/>
      </w:pPr>
      <w:bookmarkStart w:id="2" w:name="_Toc213934198"/>
      <w:r>
        <w:lastRenderedPageBreak/>
        <w:t xml:space="preserve">Spatial </w:t>
      </w:r>
      <w:r w:rsidR="005E0DA7">
        <w:t xml:space="preserve">and temporal </w:t>
      </w:r>
      <w:r>
        <w:t>coverage</w:t>
      </w:r>
      <w:bookmarkEnd w:id="2"/>
    </w:p>
    <w:p w14:paraId="0CFFF529" w14:textId="45EC77FD" w:rsidR="00AF56F9" w:rsidRDefault="00874384" w:rsidP="00DA1BE0">
      <w:r>
        <w:t xml:space="preserve">The samples </w:t>
      </w:r>
      <w:r w:rsidR="00E30FA0">
        <w:t>were</w:t>
      </w:r>
      <w:r w:rsidR="00AD6D19">
        <w:t xml:space="preserve"> taken from </w:t>
      </w:r>
      <w:r w:rsidR="009E1634">
        <w:t xml:space="preserve">a </w:t>
      </w:r>
      <w:r w:rsidR="00415907">
        <w:t xml:space="preserve">seagrass bed and a mudflat </w:t>
      </w:r>
      <w:r w:rsidR="003B3B8B">
        <w:t xml:space="preserve">in each of six </w:t>
      </w:r>
      <w:r w:rsidR="00415907">
        <w:t>coastal locations</w:t>
      </w:r>
      <w:r w:rsidR="003B3B8B">
        <w:t xml:space="preserve"> </w:t>
      </w:r>
      <w:r w:rsidR="00C5489A">
        <w:t>across England</w:t>
      </w:r>
      <w:r w:rsidR="003B3B8B">
        <w:t xml:space="preserve"> (Table 2)</w:t>
      </w:r>
      <w:r w:rsidR="002A6B1A">
        <w:t>.</w:t>
      </w:r>
    </w:p>
    <w:p w14:paraId="6EADBA72" w14:textId="77777777" w:rsidR="003B3B8B" w:rsidRDefault="003B3B8B" w:rsidP="00DA1BE0"/>
    <w:p w14:paraId="527CF3B8" w14:textId="434A3124" w:rsidR="003B3B8B" w:rsidRDefault="003B3B8B" w:rsidP="00DA1BE0">
      <w:bookmarkStart w:id="3" w:name="_Ref192784875"/>
      <w:r w:rsidRPr="00A41F0F">
        <w:rPr>
          <w:b/>
          <w:bCs/>
        </w:rPr>
        <w:t>Table 2</w:t>
      </w:r>
      <w:bookmarkEnd w:id="3"/>
      <w:r w:rsidRPr="00DA1BE0">
        <w:t xml:space="preserve">: Sampling dates for the national </w:t>
      </w:r>
      <w:r w:rsidR="00415907">
        <w:t>seagrass and mudflat surveys</w:t>
      </w:r>
      <w:r w:rsidRPr="00DA1BE0">
        <w:t xml:space="preserve"> survey</w:t>
      </w:r>
    </w:p>
    <w:tbl>
      <w:tblPr>
        <w:tblStyle w:val="Plain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578"/>
        <w:gridCol w:w="2071"/>
        <w:gridCol w:w="2072"/>
      </w:tblGrid>
      <w:tr w:rsidR="00252A66" w:rsidRPr="008B04D6" w14:paraId="3233FE0D" w14:textId="3AF13F01" w:rsidTr="008310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5" w:type="dxa"/>
            <w:tcBorders>
              <w:bottom w:val="none" w:sz="0" w:space="0" w:color="auto"/>
            </w:tcBorders>
          </w:tcPr>
          <w:p w14:paraId="7B58F8EB" w14:textId="77777777" w:rsidR="00252A66" w:rsidRPr="008B04D6" w:rsidRDefault="00252A66" w:rsidP="00252A66">
            <w:pPr>
              <w:spacing w:line="276" w:lineRule="auto"/>
              <w:jc w:val="center"/>
              <w:rPr>
                <w:rFonts w:ascii="Aptos Narrow" w:hAnsi="Aptos Narrow"/>
                <w:sz w:val="22"/>
                <w:szCs w:val="22"/>
              </w:rPr>
            </w:pPr>
            <w:r w:rsidRPr="008B04D6">
              <w:rPr>
                <w:rFonts w:ascii="Aptos Narrow" w:hAnsi="Aptos Narrow"/>
                <w:sz w:val="22"/>
                <w:szCs w:val="22"/>
              </w:rPr>
              <w:t>Coastal Site</w:t>
            </w:r>
          </w:p>
        </w:tc>
        <w:tc>
          <w:tcPr>
            <w:tcW w:w="2578" w:type="dxa"/>
            <w:tcBorders>
              <w:bottom w:val="none" w:sz="0" w:space="0" w:color="auto"/>
            </w:tcBorders>
          </w:tcPr>
          <w:p w14:paraId="1F524529" w14:textId="77777777" w:rsidR="00252A66" w:rsidRPr="008B04D6" w:rsidRDefault="00252A66" w:rsidP="00252A66">
            <w:pPr>
              <w:spacing w:line="276" w:lineRule="auto"/>
              <w:jc w:val="center"/>
              <w:cnfStyle w:val="100000000000" w:firstRow="1" w:lastRow="0" w:firstColumn="0" w:lastColumn="0" w:oddVBand="0" w:evenVBand="0" w:oddHBand="0"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Sampling Date</w:t>
            </w:r>
          </w:p>
        </w:tc>
        <w:tc>
          <w:tcPr>
            <w:tcW w:w="2071" w:type="dxa"/>
            <w:tcBorders>
              <w:bottom w:val="none" w:sz="0" w:space="0" w:color="auto"/>
            </w:tcBorders>
          </w:tcPr>
          <w:p w14:paraId="5AFD045E" w14:textId="4893DB89" w:rsidR="00252A66" w:rsidRPr="008B04D6" w:rsidRDefault="006877BF" w:rsidP="00252A66">
            <w:pPr>
              <w:spacing w:line="276" w:lineRule="auto"/>
              <w:jc w:val="center"/>
              <w:cnfStyle w:val="100000000000" w:firstRow="1" w:lastRow="0" w:firstColumn="0" w:lastColumn="0" w:oddVBand="0" w:evenVBand="0" w:oddHBand="0" w:evenHBand="0" w:firstRowFirstColumn="0" w:firstRowLastColumn="0" w:lastRowFirstColumn="0" w:lastRowLastColumn="0"/>
              <w:rPr>
                <w:rFonts w:ascii="Aptos Narrow" w:hAnsi="Aptos Narrow"/>
                <w:b w:val="0"/>
                <w:bCs w:val="0"/>
              </w:rPr>
            </w:pPr>
            <w:r>
              <w:t>Centroid latitude</w:t>
            </w:r>
          </w:p>
        </w:tc>
        <w:tc>
          <w:tcPr>
            <w:tcW w:w="2072" w:type="dxa"/>
            <w:tcBorders>
              <w:bottom w:val="none" w:sz="0" w:space="0" w:color="auto"/>
            </w:tcBorders>
          </w:tcPr>
          <w:p w14:paraId="540AD4F7" w14:textId="33A3822B" w:rsidR="00252A66" w:rsidRPr="008B04D6" w:rsidRDefault="006877BF" w:rsidP="00252A66">
            <w:pPr>
              <w:spacing w:line="276" w:lineRule="auto"/>
              <w:jc w:val="center"/>
              <w:cnfStyle w:val="100000000000" w:firstRow="1" w:lastRow="0" w:firstColumn="0" w:lastColumn="0" w:oddVBand="0" w:evenVBand="0" w:oddHBand="0" w:evenHBand="0" w:firstRowFirstColumn="0" w:firstRowLastColumn="0" w:lastRowFirstColumn="0" w:lastRowLastColumn="0"/>
              <w:rPr>
                <w:rFonts w:ascii="Aptos Narrow" w:hAnsi="Aptos Narrow"/>
                <w:b w:val="0"/>
                <w:bCs w:val="0"/>
              </w:rPr>
            </w:pPr>
            <w:r>
              <w:t>Centroid longitude</w:t>
            </w:r>
          </w:p>
        </w:tc>
      </w:tr>
      <w:tr w:rsidR="006C1D87" w:rsidRPr="008B04D6" w14:paraId="3B167A6B" w14:textId="3D1CC517" w:rsidTr="003A6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5" w:type="dxa"/>
            <w:tcBorders>
              <w:top w:val="none" w:sz="0" w:space="0" w:color="auto"/>
              <w:bottom w:val="none" w:sz="0" w:space="0" w:color="auto"/>
            </w:tcBorders>
            <w:vAlign w:val="center"/>
          </w:tcPr>
          <w:p w14:paraId="0FA60F7E" w14:textId="5D29B205" w:rsidR="006C1D87" w:rsidRPr="008B04D6" w:rsidRDefault="006C1D87" w:rsidP="003A6107">
            <w:pPr>
              <w:spacing w:line="276" w:lineRule="auto"/>
              <w:jc w:val="center"/>
              <w:rPr>
                <w:rFonts w:ascii="Aptos Narrow" w:hAnsi="Aptos Narrow"/>
                <w:sz w:val="22"/>
                <w:szCs w:val="22"/>
              </w:rPr>
            </w:pPr>
            <w:r>
              <w:rPr>
                <w:rFonts w:ascii="Aptos Narrow" w:hAnsi="Aptos Narrow"/>
                <w:sz w:val="22"/>
                <w:szCs w:val="22"/>
              </w:rPr>
              <w:t>Holy Island</w:t>
            </w:r>
            <w:r w:rsidRPr="008B04D6">
              <w:rPr>
                <w:rFonts w:ascii="Aptos Narrow" w:hAnsi="Aptos Narrow"/>
                <w:sz w:val="22"/>
                <w:szCs w:val="22"/>
              </w:rPr>
              <w:t xml:space="preserve"> – </w:t>
            </w:r>
            <w:proofErr w:type="spellStart"/>
            <w:r w:rsidRPr="008B04D6">
              <w:rPr>
                <w:rFonts w:ascii="Aptos Narrow" w:hAnsi="Aptos Narrow"/>
                <w:sz w:val="22"/>
                <w:szCs w:val="22"/>
              </w:rPr>
              <w:t>Fenham</w:t>
            </w:r>
            <w:proofErr w:type="spellEnd"/>
          </w:p>
        </w:tc>
        <w:tc>
          <w:tcPr>
            <w:tcW w:w="2578" w:type="dxa"/>
            <w:tcBorders>
              <w:top w:val="none" w:sz="0" w:space="0" w:color="auto"/>
              <w:bottom w:val="none" w:sz="0" w:space="0" w:color="auto"/>
            </w:tcBorders>
            <w:vAlign w:val="center"/>
          </w:tcPr>
          <w:p w14:paraId="70AD1549" w14:textId="77777777" w:rsidR="006C1D87" w:rsidRPr="008B04D6" w:rsidRDefault="006C1D8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4</w:t>
            </w:r>
            <w:r w:rsidRPr="008B04D6">
              <w:rPr>
                <w:rFonts w:ascii="Aptos Narrow" w:hAnsi="Aptos Narrow"/>
                <w:sz w:val="22"/>
                <w:szCs w:val="22"/>
                <w:vertAlign w:val="superscript"/>
              </w:rPr>
              <w:t>th</w:t>
            </w:r>
            <w:r w:rsidRPr="008B04D6">
              <w:rPr>
                <w:rFonts w:ascii="Aptos Narrow" w:hAnsi="Aptos Narrow"/>
                <w:sz w:val="22"/>
                <w:szCs w:val="22"/>
              </w:rPr>
              <w:t xml:space="preserve"> February 2025</w:t>
            </w:r>
          </w:p>
        </w:tc>
        <w:tc>
          <w:tcPr>
            <w:tcW w:w="2071" w:type="dxa"/>
            <w:tcBorders>
              <w:top w:val="none" w:sz="0" w:space="0" w:color="auto"/>
              <w:bottom w:val="none" w:sz="0" w:space="0" w:color="auto"/>
            </w:tcBorders>
            <w:vAlign w:val="center"/>
          </w:tcPr>
          <w:p w14:paraId="453D380A" w14:textId="0BCDA24B" w:rsidR="006C1D87" w:rsidRPr="003A6107" w:rsidRDefault="006C1D8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55.66599</w:t>
            </w:r>
          </w:p>
        </w:tc>
        <w:tc>
          <w:tcPr>
            <w:tcW w:w="2072" w:type="dxa"/>
            <w:tcBorders>
              <w:top w:val="none" w:sz="0" w:space="0" w:color="auto"/>
              <w:bottom w:val="none" w:sz="0" w:space="0" w:color="auto"/>
            </w:tcBorders>
            <w:vAlign w:val="center"/>
          </w:tcPr>
          <w:p w14:paraId="13C1E00B" w14:textId="6AD7BB82" w:rsidR="006C1D87" w:rsidRPr="003A6107" w:rsidRDefault="006C1D8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-1.85783</w:t>
            </w:r>
          </w:p>
        </w:tc>
      </w:tr>
      <w:tr w:rsidR="006C1D87" w:rsidRPr="008B04D6" w14:paraId="653C2D27" w14:textId="534F8548" w:rsidTr="003A6107">
        <w:tc>
          <w:tcPr>
            <w:cnfStyle w:val="001000000000" w:firstRow="0" w:lastRow="0" w:firstColumn="1" w:lastColumn="0" w:oddVBand="0" w:evenVBand="0" w:oddHBand="0" w:evenHBand="0" w:firstRowFirstColumn="0" w:firstRowLastColumn="0" w:lastRowFirstColumn="0" w:lastRowLastColumn="0"/>
            <w:tcW w:w="2295" w:type="dxa"/>
            <w:vAlign w:val="center"/>
          </w:tcPr>
          <w:p w14:paraId="68634019" w14:textId="3E6F7091" w:rsidR="006C1D87" w:rsidRPr="008B04D6" w:rsidRDefault="006C1D87" w:rsidP="003A6107">
            <w:pPr>
              <w:spacing w:line="276" w:lineRule="auto"/>
              <w:jc w:val="center"/>
              <w:rPr>
                <w:rFonts w:ascii="Aptos Narrow" w:hAnsi="Aptos Narrow"/>
                <w:sz w:val="22"/>
                <w:szCs w:val="22"/>
              </w:rPr>
            </w:pPr>
            <w:r>
              <w:rPr>
                <w:rFonts w:ascii="Aptos Narrow" w:hAnsi="Aptos Narrow"/>
                <w:sz w:val="22"/>
                <w:szCs w:val="22"/>
              </w:rPr>
              <w:t>Holy Island</w:t>
            </w:r>
            <w:r w:rsidRPr="008B04D6">
              <w:rPr>
                <w:rFonts w:ascii="Aptos Narrow" w:hAnsi="Aptos Narrow"/>
                <w:sz w:val="22"/>
                <w:szCs w:val="22"/>
              </w:rPr>
              <w:t xml:space="preserve"> – </w:t>
            </w:r>
            <w:proofErr w:type="spellStart"/>
            <w:r w:rsidRPr="008B04D6">
              <w:rPr>
                <w:rFonts w:ascii="Aptos Narrow" w:hAnsi="Aptos Narrow"/>
                <w:sz w:val="22"/>
                <w:szCs w:val="22"/>
              </w:rPr>
              <w:t>Budle</w:t>
            </w:r>
            <w:proofErr w:type="spellEnd"/>
          </w:p>
        </w:tc>
        <w:tc>
          <w:tcPr>
            <w:tcW w:w="2578" w:type="dxa"/>
            <w:vAlign w:val="center"/>
          </w:tcPr>
          <w:p w14:paraId="429EE822" w14:textId="77777777" w:rsidR="006C1D87" w:rsidRPr="008B04D6" w:rsidRDefault="006C1D87"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5</w:t>
            </w:r>
            <w:r w:rsidRPr="008B04D6">
              <w:rPr>
                <w:rFonts w:ascii="Aptos Narrow" w:hAnsi="Aptos Narrow"/>
                <w:sz w:val="22"/>
                <w:szCs w:val="22"/>
                <w:vertAlign w:val="superscript"/>
              </w:rPr>
              <w:t>th</w:t>
            </w:r>
            <w:r w:rsidRPr="008B04D6">
              <w:rPr>
                <w:rFonts w:ascii="Aptos Narrow" w:hAnsi="Aptos Narrow"/>
                <w:sz w:val="22"/>
                <w:szCs w:val="22"/>
              </w:rPr>
              <w:t xml:space="preserve"> February 2025</w:t>
            </w:r>
          </w:p>
        </w:tc>
        <w:tc>
          <w:tcPr>
            <w:tcW w:w="2071" w:type="dxa"/>
            <w:vAlign w:val="center"/>
          </w:tcPr>
          <w:p w14:paraId="66839EA1" w14:textId="3CB4512F" w:rsidR="006C1D87" w:rsidRPr="003A6107" w:rsidRDefault="006C1D87"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55.60754</w:t>
            </w:r>
          </w:p>
        </w:tc>
        <w:tc>
          <w:tcPr>
            <w:tcW w:w="2072" w:type="dxa"/>
            <w:vAlign w:val="center"/>
          </w:tcPr>
          <w:p w14:paraId="2CB8FA8B" w14:textId="6C9B4300" w:rsidR="006C1D87" w:rsidRPr="003A6107" w:rsidRDefault="006C1D87"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-1.76855</w:t>
            </w:r>
          </w:p>
        </w:tc>
      </w:tr>
      <w:tr w:rsidR="00831019" w:rsidRPr="008B04D6" w14:paraId="62552346" w14:textId="0B6D6B97" w:rsidTr="003A6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5" w:type="dxa"/>
            <w:tcBorders>
              <w:top w:val="none" w:sz="0" w:space="0" w:color="auto"/>
              <w:bottom w:val="none" w:sz="0" w:space="0" w:color="auto"/>
            </w:tcBorders>
            <w:vAlign w:val="center"/>
          </w:tcPr>
          <w:p w14:paraId="509D11FA" w14:textId="77777777" w:rsidR="00831019" w:rsidRPr="008B04D6" w:rsidRDefault="00831019" w:rsidP="003A6107">
            <w:pPr>
              <w:spacing w:line="276" w:lineRule="auto"/>
              <w:jc w:val="center"/>
              <w:rPr>
                <w:rFonts w:ascii="Aptos Narrow" w:hAnsi="Aptos Narrow"/>
                <w:sz w:val="22"/>
                <w:szCs w:val="22"/>
              </w:rPr>
            </w:pPr>
            <w:r w:rsidRPr="008B04D6">
              <w:rPr>
                <w:rFonts w:ascii="Aptos Narrow" w:hAnsi="Aptos Narrow"/>
                <w:sz w:val="22"/>
                <w:szCs w:val="22"/>
              </w:rPr>
              <w:t>Blackwater – St Lawrence A</w:t>
            </w:r>
          </w:p>
        </w:tc>
        <w:tc>
          <w:tcPr>
            <w:tcW w:w="2578" w:type="dxa"/>
            <w:tcBorders>
              <w:top w:val="none" w:sz="0" w:space="0" w:color="auto"/>
              <w:bottom w:val="none" w:sz="0" w:space="0" w:color="auto"/>
            </w:tcBorders>
            <w:vAlign w:val="center"/>
          </w:tcPr>
          <w:p w14:paraId="34C7715F" w14:textId="77777777" w:rsidR="00831019" w:rsidRPr="008B04D6" w:rsidRDefault="00831019"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11</w:t>
            </w:r>
            <w:r w:rsidRPr="008B04D6">
              <w:rPr>
                <w:rFonts w:ascii="Aptos Narrow" w:hAnsi="Aptos Narrow"/>
                <w:sz w:val="22"/>
                <w:szCs w:val="22"/>
                <w:vertAlign w:val="superscript"/>
              </w:rPr>
              <w:t>th</w:t>
            </w:r>
            <w:r w:rsidRPr="008B04D6">
              <w:rPr>
                <w:rFonts w:ascii="Aptos Narrow" w:hAnsi="Aptos Narrow"/>
                <w:sz w:val="22"/>
                <w:szCs w:val="22"/>
              </w:rPr>
              <w:t xml:space="preserve"> March 2025</w:t>
            </w:r>
          </w:p>
        </w:tc>
        <w:tc>
          <w:tcPr>
            <w:tcW w:w="2071" w:type="dxa"/>
            <w:tcBorders>
              <w:top w:val="none" w:sz="0" w:space="0" w:color="auto"/>
              <w:bottom w:val="none" w:sz="0" w:space="0" w:color="auto"/>
            </w:tcBorders>
            <w:vAlign w:val="center"/>
          </w:tcPr>
          <w:p w14:paraId="38EA98E0" w14:textId="4BF1EDF7" w:rsidR="00831019" w:rsidRPr="003A6107" w:rsidRDefault="00831019"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sz w:val="22"/>
                <w:szCs w:val="22"/>
              </w:rPr>
              <w:t>51.7156939</w:t>
            </w:r>
          </w:p>
        </w:tc>
        <w:tc>
          <w:tcPr>
            <w:tcW w:w="2072" w:type="dxa"/>
            <w:tcBorders>
              <w:top w:val="none" w:sz="0" w:space="0" w:color="auto"/>
              <w:bottom w:val="none" w:sz="0" w:space="0" w:color="auto"/>
            </w:tcBorders>
            <w:vAlign w:val="center"/>
          </w:tcPr>
          <w:p w14:paraId="7FC52D2F" w14:textId="1B42FD64" w:rsidR="00831019" w:rsidRPr="003A6107" w:rsidRDefault="00831019"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sz w:val="22"/>
                <w:szCs w:val="22"/>
              </w:rPr>
              <w:t>0.839804357</w:t>
            </w:r>
          </w:p>
        </w:tc>
      </w:tr>
      <w:tr w:rsidR="00831019" w:rsidRPr="008B04D6" w14:paraId="1D56EC28" w14:textId="21BEF3A3" w:rsidTr="003A6107">
        <w:tc>
          <w:tcPr>
            <w:cnfStyle w:val="001000000000" w:firstRow="0" w:lastRow="0" w:firstColumn="1" w:lastColumn="0" w:oddVBand="0" w:evenVBand="0" w:oddHBand="0" w:evenHBand="0" w:firstRowFirstColumn="0" w:firstRowLastColumn="0" w:lastRowFirstColumn="0" w:lastRowLastColumn="0"/>
            <w:tcW w:w="2295" w:type="dxa"/>
            <w:vAlign w:val="center"/>
          </w:tcPr>
          <w:p w14:paraId="7737257E" w14:textId="77777777" w:rsidR="00831019" w:rsidRPr="008B04D6" w:rsidRDefault="00831019" w:rsidP="003A6107">
            <w:pPr>
              <w:spacing w:line="276" w:lineRule="auto"/>
              <w:jc w:val="center"/>
              <w:rPr>
                <w:rFonts w:ascii="Aptos Narrow" w:hAnsi="Aptos Narrow"/>
                <w:sz w:val="22"/>
                <w:szCs w:val="22"/>
              </w:rPr>
            </w:pPr>
            <w:r w:rsidRPr="008B04D6">
              <w:rPr>
                <w:rFonts w:ascii="Aptos Narrow" w:hAnsi="Aptos Narrow"/>
                <w:sz w:val="22"/>
                <w:szCs w:val="22"/>
              </w:rPr>
              <w:t>Blackwater – St Lawrence B</w:t>
            </w:r>
          </w:p>
        </w:tc>
        <w:tc>
          <w:tcPr>
            <w:tcW w:w="2578" w:type="dxa"/>
            <w:vAlign w:val="center"/>
          </w:tcPr>
          <w:p w14:paraId="19A656A6" w14:textId="77777777" w:rsidR="00831019" w:rsidRPr="008B04D6" w:rsidRDefault="00831019"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12</w:t>
            </w:r>
            <w:r w:rsidRPr="008B04D6">
              <w:rPr>
                <w:rFonts w:ascii="Aptos Narrow" w:hAnsi="Aptos Narrow"/>
                <w:sz w:val="22"/>
                <w:szCs w:val="22"/>
                <w:vertAlign w:val="superscript"/>
              </w:rPr>
              <w:t>th</w:t>
            </w:r>
            <w:r w:rsidRPr="008B04D6">
              <w:rPr>
                <w:rFonts w:ascii="Aptos Narrow" w:hAnsi="Aptos Narrow"/>
                <w:sz w:val="22"/>
                <w:szCs w:val="22"/>
              </w:rPr>
              <w:t xml:space="preserve"> March 2025</w:t>
            </w:r>
          </w:p>
        </w:tc>
        <w:tc>
          <w:tcPr>
            <w:tcW w:w="2071" w:type="dxa"/>
            <w:vAlign w:val="center"/>
          </w:tcPr>
          <w:p w14:paraId="6D25F49D" w14:textId="73FFA4F0" w:rsidR="00831019" w:rsidRPr="003A6107" w:rsidRDefault="00831019"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sz w:val="22"/>
                <w:szCs w:val="22"/>
              </w:rPr>
              <w:t>51.71576572</w:t>
            </w:r>
          </w:p>
        </w:tc>
        <w:tc>
          <w:tcPr>
            <w:tcW w:w="2072" w:type="dxa"/>
            <w:vAlign w:val="center"/>
          </w:tcPr>
          <w:p w14:paraId="35956DD6" w14:textId="3167938F" w:rsidR="00831019" w:rsidRPr="003A6107" w:rsidRDefault="00831019"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sz w:val="22"/>
                <w:szCs w:val="22"/>
              </w:rPr>
              <w:t>0.83307045</w:t>
            </w:r>
          </w:p>
        </w:tc>
      </w:tr>
      <w:tr w:rsidR="003A6107" w:rsidRPr="008B04D6" w14:paraId="0D89DBE2" w14:textId="6C6F3AAE" w:rsidTr="003A6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5" w:type="dxa"/>
            <w:tcBorders>
              <w:top w:val="none" w:sz="0" w:space="0" w:color="auto"/>
              <w:bottom w:val="none" w:sz="0" w:space="0" w:color="auto"/>
            </w:tcBorders>
            <w:vAlign w:val="center"/>
          </w:tcPr>
          <w:p w14:paraId="2AAE89CF" w14:textId="77777777" w:rsidR="003A6107" w:rsidRPr="008B04D6" w:rsidRDefault="003A6107" w:rsidP="003A6107">
            <w:pPr>
              <w:spacing w:line="276" w:lineRule="auto"/>
              <w:jc w:val="center"/>
              <w:rPr>
                <w:rFonts w:ascii="Aptos Narrow" w:hAnsi="Aptos Narrow"/>
                <w:sz w:val="22"/>
                <w:szCs w:val="22"/>
              </w:rPr>
            </w:pPr>
            <w:r w:rsidRPr="008B04D6">
              <w:rPr>
                <w:rFonts w:ascii="Aptos Narrow" w:hAnsi="Aptos Narrow"/>
                <w:sz w:val="22"/>
                <w:szCs w:val="22"/>
              </w:rPr>
              <w:t>Thames – Two Tree</w:t>
            </w:r>
          </w:p>
        </w:tc>
        <w:tc>
          <w:tcPr>
            <w:tcW w:w="2578" w:type="dxa"/>
            <w:tcBorders>
              <w:top w:val="none" w:sz="0" w:space="0" w:color="auto"/>
              <w:bottom w:val="none" w:sz="0" w:space="0" w:color="auto"/>
            </w:tcBorders>
            <w:vAlign w:val="center"/>
          </w:tcPr>
          <w:p w14:paraId="04E9846C" w14:textId="77777777" w:rsidR="003A6107" w:rsidRPr="008B04D6" w:rsidRDefault="003A610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18</w:t>
            </w:r>
            <w:r w:rsidRPr="008B04D6">
              <w:rPr>
                <w:rFonts w:ascii="Aptos Narrow" w:hAnsi="Aptos Narrow"/>
                <w:sz w:val="22"/>
                <w:szCs w:val="22"/>
                <w:vertAlign w:val="superscript"/>
              </w:rPr>
              <w:t>th</w:t>
            </w:r>
            <w:r w:rsidRPr="008B04D6">
              <w:rPr>
                <w:rFonts w:ascii="Aptos Narrow" w:hAnsi="Aptos Narrow"/>
                <w:sz w:val="22"/>
                <w:szCs w:val="22"/>
              </w:rPr>
              <w:t xml:space="preserve"> February 2025</w:t>
            </w:r>
          </w:p>
        </w:tc>
        <w:tc>
          <w:tcPr>
            <w:tcW w:w="2071" w:type="dxa"/>
            <w:tcBorders>
              <w:top w:val="none" w:sz="0" w:space="0" w:color="auto"/>
              <w:bottom w:val="none" w:sz="0" w:space="0" w:color="auto"/>
            </w:tcBorders>
            <w:vAlign w:val="center"/>
          </w:tcPr>
          <w:p w14:paraId="361376D5" w14:textId="7902605B" w:rsidR="003A6107" w:rsidRPr="003A6107" w:rsidRDefault="003A610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51.5316</w:t>
            </w:r>
          </w:p>
        </w:tc>
        <w:tc>
          <w:tcPr>
            <w:tcW w:w="2072" w:type="dxa"/>
            <w:tcBorders>
              <w:top w:val="none" w:sz="0" w:space="0" w:color="auto"/>
              <w:bottom w:val="none" w:sz="0" w:space="0" w:color="auto"/>
            </w:tcBorders>
            <w:vAlign w:val="center"/>
          </w:tcPr>
          <w:p w14:paraId="022B2977" w14:textId="6B378309" w:rsidR="003A6107" w:rsidRPr="003A6107" w:rsidRDefault="003A610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0.630695</w:t>
            </w:r>
          </w:p>
        </w:tc>
      </w:tr>
      <w:tr w:rsidR="00A867EF" w:rsidRPr="008B04D6" w14:paraId="2D303B4C" w14:textId="04FD3284" w:rsidTr="003A6107">
        <w:tc>
          <w:tcPr>
            <w:cnfStyle w:val="001000000000" w:firstRow="0" w:lastRow="0" w:firstColumn="1" w:lastColumn="0" w:oddVBand="0" w:evenVBand="0" w:oddHBand="0" w:evenHBand="0" w:firstRowFirstColumn="0" w:firstRowLastColumn="0" w:lastRowFirstColumn="0" w:lastRowLastColumn="0"/>
            <w:tcW w:w="2295" w:type="dxa"/>
            <w:vAlign w:val="center"/>
          </w:tcPr>
          <w:p w14:paraId="7CC52CDD" w14:textId="77777777" w:rsidR="00A867EF" w:rsidRPr="008B04D6" w:rsidRDefault="00A867EF" w:rsidP="003A6107">
            <w:pPr>
              <w:spacing w:line="276" w:lineRule="auto"/>
              <w:jc w:val="center"/>
              <w:rPr>
                <w:rFonts w:ascii="Aptos Narrow" w:hAnsi="Aptos Narrow"/>
                <w:sz w:val="22"/>
                <w:szCs w:val="22"/>
              </w:rPr>
            </w:pPr>
            <w:r w:rsidRPr="008B04D6">
              <w:rPr>
                <w:rFonts w:ascii="Aptos Narrow" w:hAnsi="Aptos Narrow"/>
                <w:sz w:val="22"/>
                <w:szCs w:val="22"/>
              </w:rPr>
              <w:t>Thames – Lower Thames Bank</w:t>
            </w:r>
          </w:p>
        </w:tc>
        <w:tc>
          <w:tcPr>
            <w:tcW w:w="2578" w:type="dxa"/>
            <w:vAlign w:val="center"/>
          </w:tcPr>
          <w:p w14:paraId="33570A3B" w14:textId="77777777" w:rsidR="00A867EF" w:rsidRPr="008B04D6" w:rsidRDefault="00A867EF"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19</w:t>
            </w:r>
            <w:r w:rsidRPr="008B04D6">
              <w:rPr>
                <w:rFonts w:ascii="Aptos Narrow" w:hAnsi="Aptos Narrow"/>
                <w:sz w:val="22"/>
                <w:szCs w:val="22"/>
                <w:vertAlign w:val="superscript"/>
              </w:rPr>
              <w:t>th</w:t>
            </w:r>
            <w:r w:rsidRPr="008B04D6">
              <w:rPr>
                <w:rFonts w:ascii="Aptos Narrow" w:hAnsi="Aptos Narrow"/>
                <w:sz w:val="22"/>
                <w:szCs w:val="22"/>
              </w:rPr>
              <w:t xml:space="preserve"> February 2025</w:t>
            </w:r>
          </w:p>
        </w:tc>
        <w:tc>
          <w:tcPr>
            <w:tcW w:w="2071" w:type="dxa"/>
            <w:vAlign w:val="center"/>
          </w:tcPr>
          <w:p w14:paraId="614185C7" w14:textId="75AA946C" w:rsidR="00A867EF" w:rsidRPr="003A6107" w:rsidRDefault="00A867EF"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51.52698</w:t>
            </w:r>
          </w:p>
        </w:tc>
        <w:tc>
          <w:tcPr>
            <w:tcW w:w="2072" w:type="dxa"/>
            <w:vAlign w:val="center"/>
          </w:tcPr>
          <w:p w14:paraId="0087B6AB" w14:textId="2C0CEE58" w:rsidR="00A867EF" w:rsidRPr="003A6107" w:rsidRDefault="00A867EF"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0.757896</w:t>
            </w:r>
          </w:p>
        </w:tc>
      </w:tr>
      <w:tr w:rsidR="00652532" w:rsidRPr="008B04D6" w14:paraId="447B4B15" w14:textId="4A4B8100" w:rsidTr="003A6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5" w:type="dxa"/>
            <w:tcBorders>
              <w:top w:val="none" w:sz="0" w:space="0" w:color="auto"/>
              <w:bottom w:val="none" w:sz="0" w:space="0" w:color="auto"/>
            </w:tcBorders>
            <w:vAlign w:val="center"/>
          </w:tcPr>
          <w:p w14:paraId="2E5F9F7D" w14:textId="77777777" w:rsidR="00652532" w:rsidRPr="008B04D6" w:rsidRDefault="00652532" w:rsidP="003A6107">
            <w:pPr>
              <w:spacing w:line="276" w:lineRule="auto"/>
              <w:jc w:val="center"/>
              <w:rPr>
                <w:rFonts w:ascii="Aptos Narrow" w:hAnsi="Aptos Narrow"/>
                <w:sz w:val="22"/>
                <w:szCs w:val="22"/>
              </w:rPr>
            </w:pPr>
            <w:r w:rsidRPr="008B04D6">
              <w:rPr>
                <w:rFonts w:ascii="Aptos Narrow" w:hAnsi="Aptos Narrow"/>
                <w:sz w:val="22"/>
                <w:szCs w:val="22"/>
              </w:rPr>
              <w:t xml:space="preserve">Chichester – </w:t>
            </w:r>
            <w:proofErr w:type="spellStart"/>
            <w:r w:rsidRPr="008B04D6">
              <w:rPr>
                <w:rFonts w:ascii="Aptos Narrow" w:hAnsi="Aptos Narrow"/>
                <w:sz w:val="22"/>
                <w:szCs w:val="22"/>
              </w:rPr>
              <w:t>Prinstead</w:t>
            </w:r>
            <w:proofErr w:type="spellEnd"/>
          </w:p>
        </w:tc>
        <w:tc>
          <w:tcPr>
            <w:tcW w:w="2578" w:type="dxa"/>
            <w:tcBorders>
              <w:top w:val="none" w:sz="0" w:space="0" w:color="auto"/>
              <w:bottom w:val="none" w:sz="0" w:space="0" w:color="auto"/>
            </w:tcBorders>
            <w:vAlign w:val="center"/>
          </w:tcPr>
          <w:p w14:paraId="25763FD3" w14:textId="77777777" w:rsidR="00652532" w:rsidRPr="008B04D6" w:rsidRDefault="00652532"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27</w:t>
            </w:r>
            <w:r w:rsidRPr="008B04D6">
              <w:rPr>
                <w:rFonts w:ascii="Aptos Narrow" w:hAnsi="Aptos Narrow"/>
                <w:sz w:val="22"/>
                <w:szCs w:val="22"/>
                <w:vertAlign w:val="superscript"/>
              </w:rPr>
              <w:t>th</w:t>
            </w:r>
            <w:r w:rsidRPr="008B04D6">
              <w:rPr>
                <w:rFonts w:ascii="Aptos Narrow" w:hAnsi="Aptos Narrow"/>
                <w:sz w:val="22"/>
                <w:szCs w:val="22"/>
              </w:rPr>
              <w:t xml:space="preserve"> March 2025</w:t>
            </w:r>
          </w:p>
        </w:tc>
        <w:tc>
          <w:tcPr>
            <w:tcW w:w="2071" w:type="dxa"/>
            <w:tcBorders>
              <w:top w:val="none" w:sz="0" w:space="0" w:color="auto"/>
              <w:bottom w:val="none" w:sz="0" w:space="0" w:color="auto"/>
            </w:tcBorders>
            <w:vAlign w:val="center"/>
          </w:tcPr>
          <w:p w14:paraId="5887A0F8" w14:textId="2E21C9B6" w:rsidR="00652532" w:rsidRPr="003A6107" w:rsidRDefault="00652532"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sz w:val="22"/>
                <w:szCs w:val="22"/>
              </w:rPr>
              <w:t>50.83661275</w:t>
            </w:r>
          </w:p>
        </w:tc>
        <w:tc>
          <w:tcPr>
            <w:tcW w:w="2072" w:type="dxa"/>
            <w:tcBorders>
              <w:top w:val="none" w:sz="0" w:space="0" w:color="auto"/>
              <w:bottom w:val="none" w:sz="0" w:space="0" w:color="auto"/>
            </w:tcBorders>
            <w:vAlign w:val="center"/>
          </w:tcPr>
          <w:p w14:paraId="4DA0AA53" w14:textId="61441DE9" w:rsidR="00652532" w:rsidRPr="003A6107" w:rsidRDefault="00652532"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sz w:val="22"/>
                <w:szCs w:val="22"/>
              </w:rPr>
              <w:t>-0.906595085</w:t>
            </w:r>
          </w:p>
        </w:tc>
      </w:tr>
      <w:tr w:rsidR="00652532" w:rsidRPr="008B04D6" w14:paraId="0AA1D8A9" w14:textId="099573F1" w:rsidTr="003A6107">
        <w:tc>
          <w:tcPr>
            <w:cnfStyle w:val="001000000000" w:firstRow="0" w:lastRow="0" w:firstColumn="1" w:lastColumn="0" w:oddVBand="0" w:evenVBand="0" w:oddHBand="0" w:evenHBand="0" w:firstRowFirstColumn="0" w:firstRowLastColumn="0" w:lastRowFirstColumn="0" w:lastRowLastColumn="0"/>
            <w:tcW w:w="2295" w:type="dxa"/>
            <w:vAlign w:val="center"/>
          </w:tcPr>
          <w:p w14:paraId="48FC3EC4" w14:textId="77777777" w:rsidR="00652532" w:rsidRPr="008B04D6" w:rsidRDefault="00652532" w:rsidP="003A6107">
            <w:pPr>
              <w:spacing w:line="276" w:lineRule="auto"/>
              <w:jc w:val="center"/>
              <w:rPr>
                <w:rFonts w:ascii="Aptos Narrow" w:hAnsi="Aptos Narrow"/>
                <w:sz w:val="22"/>
                <w:szCs w:val="22"/>
              </w:rPr>
            </w:pPr>
            <w:r w:rsidRPr="008B04D6">
              <w:rPr>
                <w:rFonts w:ascii="Aptos Narrow" w:hAnsi="Aptos Narrow"/>
                <w:sz w:val="22"/>
                <w:szCs w:val="22"/>
              </w:rPr>
              <w:t xml:space="preserve">Chichester – West </w:t>
            </w:r>
            <w:proofErr w:type="spellStart"/>
            <w:r w:rsidRPr="008B04D6">
              <w:rPr>
                <w:rFonts w:ascii="Aptos Narrow" w:hAnsi="Aptos Narrow"/>
                <w:sz w:val="22"/>
                <w:szCs w:val="22"/>
              </w:rPr>
              <w:t>Itchenor</w:t>
            </w:r>
            <w:proofErr w:type="spellEnd"/>
          </w:p>
        </w:tc>
        <w:tc>
          <w:tcPr>
            <w:tcW w:w="2578" w:type="dxa"/>
            <w:vAlign w:val="center"/>
          </w:tcPr>
          <w:p w14:paraId="1000D2C0" w14:textId="77777777" w:rsidR="00652532" w:rsidRPr="008B04D6" w:rsidRDefault="00652532"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25</w:t>
            </w:r>
            <w:r w:rsidRPr="008B04D6">
              <w:rPr>
                <w:rFonts w:ascii="Aptos Narrow" w:hAnsi="Aptos Narrow"/>
                <w:sz w:val="22"/>
                <w:szCs w:val="22"/>
                <w:vertAlign w:val="superscript"/>
              </w:rPr>
              <w:t>th</w:t>
            </w:r>
            <w:r w:rsidRPr="008B04D6">
              <w:rPr>
                <w:rFonts w:ascii="Aptos Narrow" w:hAnsi="Aptos Narrow"/>
                <w:sz w:val="22"/>
                <w:szCs w:val="22"/>
              </w:rPr>
              <w:t xml:space="preserve"> March 2025</w:t>
            </w:r>
          </w:p>
        </w:tc>
        <w:tc>
          <w:tcPr>
            <w:tcW w:w="2071" w:type="dxa"/>
            <w:vAlign w:val="center"/>
          </w:tcPr>
          <w:p w14:paraId="3698AE96" w14:textId="0D3C68D6" w:rsidR="00652532" w:rsidRPr="003A6107" w:rsidRDefault="00652532"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sz w:val="22"/>
                <w:szCs w:val="22"/>
              </w:rPr>
              <w:t>50.80478713</w:t>
            </w:r>
          </w:p>
        </w:tc>
        <w:tc>
          <w:tcPr>
            <w:tcW w:w="2072" w:type="dxa"/>
            <w:vAlign w:val="center"/>
          </w:tcPr>
          <w:p w14:paraId="458D969A" w14:textId="618E9083" w:rsidR="00652532" w:rsidRPr="003A6107" w:rsidRDefault="00652532"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sz w:val="22"/>
                <w:szCs w:val="22"/>
              </w:rPr>
              <w:t>-0.886437703</w:t>
            </w:r>
          </w:p>
        </w:tc>
      </w:tr>
      <w:tr w:rsidR="00A867EF" w:rsidRPr="008B04D6" w14:paraId="3BEAF5CD" w14:textId="33D1B7E3" w:rsidTr="003A6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5" w:type="dxa"/>
            <w:tcBorders>
              <w:top w:val="none" w:sz="0" w:space="0" w:color="auto"/>
              <w:bottom w:val="none" w:sz="0" w:space="0" w:color="auto"/>
            </w:tcBorders>
            <w:vAlign w:val="center"/>
          </w:tcPr>
          <w:p w14:paraId="7E0174C0" w14:textId="77777777" w:rsidR="00A867EF" w:rsidRPr="008B04D6" w:rsidRDefault="00A867EF" w:rsidP="003A6107">
            <w:pPr>
              <w:spacing w:line="276" w:lineRule="auto"/>
              <w:jc w:val="center"/>
              <w:rPr>
                <w:rFonts w:ascii="Aptos Narrow" w:hAnsi="Aptos Narrow"/>
                <w:sz w:val="22"/>
                <w:szCs w:val="22"/>
              </w:rPr>
            </w:pPr>
            <w:r w:rsidRPr="008B04D6">
              <w:rPr>
                <w:rFonts w:ascii="Aptos Narrow" w:hAnsi="Aptos Narrow"/>
                <w:sz w:val="22"/>
                <w:szCs w:val="22"/>
              </w:rPr>
              <w:t>Plymouth – St John’s Lake</w:t>
            </w:r>
          </w:p>
        </w:tc>
        <w:tc>
          <w:tcPr>
            <w:tcW w:w="2578" w:type="dxa"/>
            <w:tcBorders>
              <w:top w:val="none" w:sz="0" w:space="0" w:color="auto"/>
              <w:bottom w:val="none" w:sz="0" w:space="0" w:color="auto"/>
            </w:tcBorders>
            <w:vAlign w:val="center"/>
          </w:tcPr>
          <w:p w14:paraId="18E8F425" w14:textId="77777777" w:rsidR="00A867EF" w:rsidRPr="008B04D6" w:rsidRDefault="00A867EF"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17</w:t>
            </w:r>
            <w:r w:rsidRPr="008B04D6">
              <w:rPr>
                <w:rFonts w:ascii="Aptos Narrow" w:hAnsi="Aptos Narrow"/>
                <w:sz w:val="22"/>
                <w:szCs w:val="22"/>
                <w:vertAlign w:val="superscript"/>
              </w:rPr>
              <w:t>th</w:t>
            </w:r>
            <w:r w:rsidRPr="008B04D6">
              <w:rPr>
                <w:rFonts w:ascii="Aptos Narrow" w:hAnsi="Aptos Narrow"/>
                <w:sz w:val="22"/>
                <w:szCs w:val="22"/>
              </w:rPr>
              <w:t xml:space="preserve"> January 2025</w:t>
            </w:r>
          </w:p>
        </w:tc>
        <w:tc>
          <w:tcPr>
            <w:tcW w:w="2071" w:type="dxa"/>
            <w:tcBorders>
              <w:top w:val="none" w:sz="0" w:space="0" w:color="auto"/>
              <w:bottom w:val="none" w:sz="0" w:space="0" w:color="auto"/>
            </w:tcBorders>
            <w:vAlign w:val="center"/>
          </w:tcPr>
          <w:p w14:paraId="37178F2B" w14:textId="5445A3AB" w:rsidR="00A867EF" w:rsidRPr="003A6107" w:rsidRDefault="00A867EF"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50.35847</w:t>
            </w:r>
          </w:p>
        </w:tc>
        <w:tc>
          <w:tcPr>
            <w:tcW w:w="2072" w:type="dxa"/>
            <w:tcBorders>
              <w:top w:val="none" w:sz="0" w:space="0" w:color="auto"/>
              <w:bottom w:val="none" w:sz="0" w:space="0" w:color="auto"/>
            </w:tcBorders>
            <w:vAlign w:val="center"/>
          </w:tcPr>
          <w:p w14:paraId="0F884168" w14:textId="0EA4BAB4" w:rsidR="00A867EF" w:rsidRPr="003A6107" w:rsidRDefault="00A867EF"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-4.19376</w:t>
            </w:r>
          </w:p>
        </w:tc>
      </w:tr>
      <w:tr w:rsidR="00A867EF" w:rsidRPr="008B04D6" w14:paraId="4DDB3549" w14:textId="50CDF997" w:rsidTr="003A6107">
        <w:tc>
          <w:tcPr>
            <w:cnfStyle w:val="001000000000" w:firstRow="0" w:lastRow="0" w:firstColumn="1" w:lastColumn="0" w:oddVBand="0" w:evenVBand="0" w:oddHBand="0" w:evenHBand="0" w:firstRowFirstColumn="0" w:firstRowLastColumn="0" w:lastRowFirstColumn="0" w:lastRowLastColumn="0"/>
            <w:tcW w:w="2295" w:type="dxa"/>
            <w:vAlign w:val="center"/>
          </w:tcPr>
          <w:p w14:paraId="3FE48274" w14:textId="77777777" w:rsidR="00A867EF" w:rsidRPr="008B04D6" w:rsidRDefault="00A867EF" w:rsidP="003A6107">
            <w:pPr>
              <w:spacing w:line="276" w:lineRule="auto"/>
              <w:jc w:val="center"/>
              <w:rPr>
                <w:rFonts w:ascii="Aptos Narrow" w:hAnsi="Aptos Narrow"/>
                <w:sz w:val="22"/>
                <w:szCs w:val="22"/>
              </w:rPr>
            </w:pPr>
            <w:r w:rsidRPr="008B04D6">
              <w:rPr>
                <w:rFonts w:ascii="Aptos Narrow" w:hAnsi="Aptos Narrow"/>
                <w:sz w:val="22"/>
                <w:szCs w:val="22"/>
              </w:rPr>
              <w:t xml:space="preserve">Plymouth – </w:t>
            </w:r>
            <w:proofErr w:type="spellStart"/>
            <w:r w:rsidRPr="008B04D6">
              <w:rPr>
                <w:rFonts w:ascii="Aptos Narrow" w:hAnsi="Aptos Narrow"/>
                <w:sz w:val="22"/>
                <w:szCs w:val="22"/>
              </w:rPr>
              <w:t>Thanckes</w:t>
            </w:r>
            <w:proofErr w:type="spellEnd"/>
            <w:r w:rsidRPr="008B04D6">
              <w:rPr>
                <w:rFonts w:ascii="Aptos Narrow" w:hAnsi="Aptos Narrow"/>
                <w:sz w:val="22"/>
                <w:szCs w:val="22"/>
              </w:rPr>
              <w:t xml:space="preserve"> Lake</w:t>
            </w:r>
          </w:p>
        </w:tc>
        <w:tc>
          <w:tcPr>
            <w:tcW w:w="2578" w:type="dxa"/>
            <w:vAlign w:val="center"/>
          </w:tcPr>
          <w:p w14:paraId="3C6D72D5" w14:textId="77777777" w:rsidR="00A867EF" w:rsidRPr="008B04D6" w:rsidRDefault="00A867EF"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18</w:t>
            </w:r>
            <w:r w:rsidRPr="008B04D6">
              <w:rPr>
                <w:rFonts w:ascii="Aptos Narrow" w:hAnsi="Aptos Narrow"/>
                <w:sz w:val="22"/>
                <w:szCs w:val="22"/>
                <w:vertAlign w:val="superscript"/>
              </w:rPr>
              <w:t>th</w:t>
            </w:r>
            <w:r w:rsidRPr="008B04D6">
              <w:rPr>
                <w:rFonts w:ascii="Aptos Narrow" w:hAnsi="Aptos Narrow"/>
                <w:sz w:val="22"/>
                <w:szCs w:val="22"/>
              </w:rPr>
              <w:t xml:space="preserve"> January 2025</w:t>
            </w:r>
          </w:p>
        </w:tc>
        <w:tc>
          <w:tcPr>
            <w:tcW w:w="2071" w:type="dxa"/>
            <w:vAlign w:val="center"/>
          </w:tcPr>
          <w:p w14:paraId="58951961" w14:textId="609B4E3A" w:rsidR="00A867EF" w:rsidRPr="003A6107" w:rsidRDefault="00A867EF"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50.37751</w:t>
            </w:r>
          </w:p>
        </w:tc>
        <w:tc>
          <w:tcPr>
            <w:tcW w:w="2072" w:type="dxa"/>
            <w:vAlign w:val="center"/>
          </w:tcPr>
          <w:p w14:paraId="08ECFA7D" w14:textId="4114E1CF" w:rsidR="00A867EF" w:rsidRPr="003A6107" w:rsidRDefault="00A867EF"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-4.19413</w:t>
            </w:r>
          </w:p>
        </w:tc>
      </w:tr>
      <w:tr w:rsidR="006C1D87" w:rsidRPr="008B04D6" w14:paraId="2EA64845" w14:textId="60B41746" w:rsidTr="003A61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5" w:type="dxa"/>
            <w:tcBorders>
              <w:top w:val="none" w:sz="0" w:space="0" w:color="auto"/>
              <w:bottom w:val="none" w:sz="0" w:space="0" w:color="auto"/>
            </w:tcBorders>
            <w:vAlign w:val="center"/>
          </w:tcPr>
          <w:p w14:paraId="6D981E8A" w14:textId="77777777" w:rsidR="006C1D87" w:rsidRPr="008B04D6" w:rsidRDefault="006C1D87" w:rsidP="003A6107">
            <w:pPr>
              <w:spacing w:line="276" w:lineRule="auto"/>
              <w:jc w:val="center"/>
              <w:rPr>
                <w:rFonts w:ascii="Aptos Narrow" w:hAnsi="Aptos Narrow"/>
                <w:sz w:val="22"/>
                <w:szCs w:val="22"/>
              </w:rPr>
            </w:pPr>
            <w:r w:rsidRPr="008B04D6">
              <w:rPr>
                <w:rFonts w:ascii="Aptos Narrow" w:hAnsi="Aptos Narrow"/>
                <w:sz w:val="22"/>
                <w:szCs w:val="22"/>
              </w:rPr>
              <w:t>Morecambe – Roa Island</w:t>
            </w:r>
          </w:p>
        </w:tc>
        <w:tc>
          <w:tcPr>
            <w:tcW w:w="2578" w:type="dxa"/>
            <w:tcBorders>
              <w:top w:val="none" w:sz="0" w:space="0" w:color="auto"/>
              <w:bottom w:val="none" w:sz="0" w:space="0" w:color="auto"/>
            </w:tcBorders>
            <w:vAlign w:val="center"/>
          </w:tcPr>
          <w:p w14:paraId="7FD878FC" w14:textId="77777777" w:rsidR="006C1D87" w:rsidRPr="008B04D6" w:rsidRDefault="006C1D8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5</w:t>
            </w:r>
            <w:r w:rsidRPr="008B04D6">
              <w:rPr>
                <w:rFonts w:ascii="Aptos Narrow" w:hAnsi="Aptos Narrow"/>
                <w:sz w:val="22"/>
                <w:szCs w:val="22"/>
                <w:vertAlign w:val="superscript"/>
              </w:rPr>
              <w:t>th</w:t>
            </w:r>
            <w:r w:rsidRPr="008B04D6">
              <w:rPr>
                <w:rFonts w:ascii="Aptos Narrow" w:hAnsi="Aptos Narrow"/>
                <w:sz w:val="22"/>
                <w:szCs w:val="22"/>
              </w:rPr>
              <w:t xml:space="preserve"> December 2024</w:t>
            </w:r>
          </w:p>
        </w:tc>
        <w:tc>
          <w:tcPr>
            <w:tcW w:w="2071" w:type="dxa"/>
            <w:tcBorders>
              <w:top w:val="none" w:sz="0" w:space="0" w:color="auto"/>
              <w:bottom w:val="none" w:sz="0" w:space="0" w:color="auto"/>
            </w:tcBorders>
            <w:vAlign w:val="center"/>
          </w:tcPr>
          <w:p w14:paraId="534103F4" w14:textId="4113F40F" w:rsidR="006C1D87" w:rsidRPr="003A6107" w:rsidRDefault="006C1D8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54.07607</w:t>
            </w:r>
          </w:p>
        </w:tc>
        <w:tc>
          <w:tcPr>
            <w:tcW w:w="2072" w:type="dxa"/>
            <w:tcBorders>
              <w:top w:val="none" w:sz="0" w:space="0" w:color="auto"/>
              <w:bottom w:val="none" w:sz="0" w:space="0" w:color="auto"/>
            </w:tcBorders>
            <w:vAlign w:val="center"/>
          </w:tcPr>
          <w:p w14:paraId="77EDC227" w14:textId="3586BD84" w:rsidR="006C1D87" w:rsidRPr="003A6107" w:rsidRDefault="006C1D87" w:rsidP="003A6107">
            <w:pPr>
              <w:spacing w:line="276"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-3.17001</w:t>
            </w:r>
          </w:p>
        </w:tc>
      </w:tr>
      <w:tr w:rsidR="006C1D87" w:rsidRPr="008B04D6" w14:paraId="6B1FFB85" w14:textId="472EC9C0" w:rsidTr="003A6107">
        <w:tc>
          <w:tcPr>
            <w:cnfStyle w:val="001000000000" w:firstRow="0" w:lastRow="0" w:firstColumn="1" w:lastColumn="0" w:oddVBand="0" w:evenVBand="0" w:oddHBand="0" w:evenHBand="0" w:firstRowFirstColumn="0" w:firstRowLastColumn="0" w:lastRowFirstColumn="0" w:lastRowLastColumn="0"/>
            <w:tcW w:w="2295" w:type="dxa"/>
            <w:vAlign w:val="center"/>
          </w:tcPr>
          <w:p w14:paraId="3C2F481F" w14:textId="77777777" w:rsidR="006C1D87" w:rsidRPr="008B04D6" w:rsidRDefault="006C1D87" w:rsidP="003A6107">
            <w:pPr>
              <w:spacing w:line="276" w:lineRule="auto"/>
              <w:jc w:val="center"/>
              <w:rPr>
                <w:rFonts w:ascii="Aptos Narrow" w:hAnsi="Aptos Narrow"/>
                <w:sz w:val="22"/>
                <w:szCs w:val="22"/>
              </w:rPr>
            </w:pPr>
            <w:r w:rsidRPr="008B04D6">
              <w:rPr>
                <w:rFonts w:ascii="Aptos Narrow" w:hAnsi="Aptos Narrow"/>
                <w:sz w:val="22"/>
                <w:szCs w:val="22"/>
              </w:rPr>
              <w:t>Morecambe - Roose</w:t>
            </w:r>
          </w:p>
        </w:tc>
        <w:tc>
          <w:tcPr>
            <w:tcW w:w="2578" w:type="dxa"/>
            <w:vAlign w:val="center"/>
          </w:tcPr>
          <w:p w14:paraId="7CEEAAEB" w14:textId="77777777" w:rsidR="006C1D87" w:rsidRPr="008B04D6" w:rsidRDefault="006C1D87"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8B04D6">
              <w:rPr>
                <w:rFonts w:ascii="Aptos Narrow" w:hAnsi="Aptos Narrow"/>
                <w:sz w:val="22"/>
                <w:szCs w:val="22"/>
              </w:rPr>
              <w:t>4</w:t>
            </w:r>
            <w:r w:rsidRPr="008B04D6">
              <w:rPr>
                <w:rFonts w:ascii="Aptos Narrow" w:hAnsi="Aptos Narrow"/>
                <w:sz w:val="22"/>
                <w:szCs w:val="22"/>
                <w:vertAlign w:val="superscript"/>
              </w:rPr>
              <w:t>th</w:t>
            </w:r>
            <w:r w:rsidRPr="008B04D6">
              <w:rPr>
                <w:rFonts w:ascii="Aptos Narrow" w:hAnsi="Aptos Narrow"/>
                <w:sz w:val="22"/>
                <w:szCs w:val="22"/>
              </w:rPr>
              <w:t xml:space="preserve"> December 2024</w:t>
            </w:r>
          </w:p>
        </w:tc>
        <w:tc>
          <w:tcPr>
            <w:tcW w:w="2071" w:type="dxa"/>
            <w:vAlign w:val="center"/>
          </w:tcPr>
          <w:p w14:paraId="04EA7194" w14:textId="0D21312C" w:rsidR="006C1D87" w:rsidRPr="003A6107" w:rsidRDefault="006C1D87"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54.0952</w:t>
            </w:r>
          </w:p>
        </w:tc>
        <w:tc>
          <w:tcPr>
            <w:tcW w:w="2072" w:type="dxa"/>
            <w:vAlign w:val="center"/>
          </w:tcPr>
          <w:p w14:paraId="68FEA9E8" w14:textId="4D680BA6" w:rsidR="006C1D87" w:rsidRPr="003A6107" w:rsidRDefault="006C1D87" w:rsidP="003A6107">
            <w:pPr>
              <w:spacing w:line="276" w:lineRule="auto"/>
              <w:jc w:val="center"/>
              <w:cnfStyle w:val="000000000000" w:firstRow="0" w:lastRow="0" w:firstColumn="0" w:lastColumn="0" w:oddVBand="0" w:evenVBand="0" w:oddHBand="0" w:evenHBand="0" w:firstRowFirstColumn="0" w:firstRowLastColumn="0" w:lastRowFirstColumn="0" w:lastRowLastColumn="0"/>
              <w:rPr>
                <w:rFonts w:ascii="Aptos Narrow" w:hAnsi="Aptos Narrow"/>
                <w:sz w:val="22"/>
                <w:szCs w:val="22"/>
              </w:rPr>
            </w:pPr>
            <w:r w:rsidRPr="003A6107">
              <w:rPr>
                <w:rFonts w:ascii="Aptos Narrow" w:hAnsi="Aptos Narrow"/>
                <w:color w:val="000000"/>
                <w:sz w:val="22"/>
                <w:szCs w:val="22"/>
              </w:rPr>
              <w:t>-3.18953</w:t>
            </w:r>
          </w:p>
        </w:tc>
      </w:tr>
    </w:tbl>
    <w:p w14:paraId="5631E076" w14:textId="77777777" w:rsidR="003B3B8B" w:rsidRDefault="003B3B8B" w:rsidP="00874384">
      <w:pPr>
        <w:pStyle w:val="NoSpacing"/>
      </w:pPr>
    </w:p>
    <w:p w14:paraId="338012D5" w14:textId="77777777" w:rsidR="00AF56F9" w:rsidRDefault="00AF56F9" w:rsidP="00874384">
      <w:pPr>
        <w:pStyle w:val="NoSpacing"/>
      </w:pPr>
    </w:p>
    <w:p w14:paraId="4E1B8148" w14:textId="77777777" w:rsidR="00F2339D" w:rsidRDefault="00F2339D" w:rsidP="00874384">
      <w:pPr>
        <w:pStyle w:val="NoSpacing"/>
      </w:pPr>
    </w:p>
    <w:p w14:paraId="1166D0D2" w14:textId="13CC970C" w:rsidR="003F3144" w:rsidRPr="00E30FA0" w:rsidRDefault="00FC05C3" w:rsidP="00FC05C3">
      <w:pPr>
        <w:pStyle w:val="Heading2"/>
      </w:pPr>
      <w:bookmarkStart w:id="4" w:name="_Toc213934199"/>
      <w:r>
        <w:t>Sampling regime and experimental design</w:t>
      </w:r>
      <w:bookmarkEnd w:id="4"/>
    </w:p>
    <w:p w14:paraId="02684711" w14:textId="77777777" w:rsidR="00E83A8C" w:rsidRDefault="00E83A8C" w:rsidP="00103AF4">
      <w:pPr>
        <w:pStyle w:val="NoSpacing"/>
      </w:pPr>
    </w:p>
    <w:p w14:paraId="547BDF94" w14:textId="68694497" w:rsidR="005E500F" w:rsidRDefault="00B92546" w:rsidP="00045F29">
      <w:r w:rsidRPr="00B92546">
        <w:t>For the survey of seagrass and mudflat habitats</w:t>
      </w:r>
      <w:r w:rsidR="00FC4A91">
        <w:t xml:space="preserve"> we selected sites with </w:t>
      </w:r>
      <w:r w:rsidRPr="00B92546">
        <w:t>different climate conditions, and estuaries of differing nutrient loads and pollutant sources with variation in underlying sediment (to the extent that a “mudflat” has such variation)</w:t>
      </w:r>
      <w:r w:rsidR="005E500F">
        <w:t>.</w:t>
      </w:r>
      <w:r w:rsidR="00045F29">
        <w:t xml:space="preserve"> Following this rationale, we sampled </w:t>
      </w:r>
      <w:r w:rsidR="00045F29" w:rsidRPr="00CA4E9A">
        <w:t xml:space="preserve">6 coastal sites across England, from </w:t>
      </w:r>
      <w:r w:rsidR="00045F29">
        <w:t>Holy Island</w:t>
      </w:r>
      <w:r w:rsidR="00045F29" w:rsidRPr="00CA4E9A">
        <w:t xml:space="preserve"> in the northeast, to Plymouth in the southwest, and Morecambe Bay in the northwest and Blackwater and Thames estuaries in the southeast and Chichester in the south. At each coastal site we aimed to </w:t>
      </w:r>
      <w:r w:rsidR="00045F29">
        <w:t xml:space="preserve">survey and/or </w:t>
      </w:r>
      <w:r w:rsidR="00045F29" w:rsidRPr="00CA4E9A">
        <w:t xml:space="preserve">sample two seagrass beds, preferably co-located with two mudflats. At St Lawrence in the Blackwater, one large seagrass bed was </w:t>
      </w:r>
      <w:r w:rsidR="00045F29" w:rsidRPr="00224272">
        <w:t xml:space="preserve">sampled in two different locations, with adjacent mudflats. </w:t>
      </w:r>
    </w:p>
    <w:p w14:paraId="115B4795" w14:textId="761D39BE" w:rsidR="00286CC2" w:rsidRDefault="00286CC2" w:rsidP="00045F29">
      <w:pPr>
        <w:rPr>
          <w:szCs w:val="24"/>
        </w:rPr>
      </w:pPr>
      <w:r>
        <w:t>At each target coastal feature (i.e. a given seagrass or mudflat survey location), we surveyed and/or sampled five quadrats, chosen at random. Where possi</w:t>
      </w:r>
      <w:r w:rsidRPr="00582514">
        <w:t>ble, locations were at least 10 m distance from each other, preferably 20 m</w:t>
      </w:r>
      <w:r>
        <w:t>,</w:t>
      </w:r>
      <w:r w:rsidRPr="00582514">
        <w:t xml:space="preserve"> depending on the constraints of a given coastal </w:t>
      </w:r>
      <w:r w:rsidRPr="00582514">
        <w:lastRenderedPageBreak/>
        <w:t xml:space="preserve">feature. At all </w:t>
      </w:r>
      <w:r>
        <w:t>quadrat</w:t>
      </w:r>
      <w:r w:rsidRPr="00582514">
        <w:t>s, we would, where relevant, describe the vegetation and extract sediment</w:t>
      </w:r>
      <w:r>
        <w:t xml:space="preserve"> samples. In a subset of</w:t>
      </w:r>
      <w:r w:rsidR="00C7323E">
        <w:t xml:space="preserve"> four out of the five</w:t>
      </w:r>
      <w:r>
        <w:t xml:space="preserve"> quadrats, we extracted</w:t>
      </w:r>
      <w:r w:rsidRPr="00582514">
        <w:t xml:space="preserve"> porewater samples</w:t>
      </w:r>
      <w:r>
        <w:t xml:space="preserve">. </w:t>
      </w:r>
    </w:p>
    <w:p w14:paraId="09691BF8" w14:textId="77777777" w:rsidR="00E83A8C" w:rsidRDefault="00E83A8C" w:rsidP="00103AF4">
      <w:pPr>
        <w:pStyle w:val="NoSpacing"/>
      </w:pPr>
    </w:p>
    <w:p w14:paraId="57F00064" w14:textId="4E87E9B6" w:rsidR="00645A3D" w:rsidRDefault="00645A3D" w:rsidP="00645A3D">
      <w:pPr>
        <w:pStyle w:val="Heading3"/>
      </w:pPr>
      <w:bookmarkStart w:id="5" w:name="_Toc193712320"/>
      <w:bookmarkStart w:id="6" w:name="_Toc204240461"/>
      <w:bookmarkStart w:id="7" w:name="_Toc213934200"/>
      <w:r>
        <w:t>Characterising Seagrass Vegetation and Mudflats</w:t>
      </w:r>
      <w:bookmarkEnd w:id="5"/>
      <w:bookmarkEnd w:id="6"/>
      <w:bookmarkEnd w:id="7"/>
    </w:p>
    <w:p w14:paraId="4A0FCA36" w14:textId="1B44C054" w:rsidR="00D34E87" w:rsidRPr="00582514" w:rsidRDefault="00D34E87" w:rsidP="00D34E87">
      <w:pPr>
        <w:rPr>
          <w:color w:val="FF0000"/>
        </w:rPr>
      </w:pPr>
      <w:r>
        <w:t xml:space="preserve">Where seagrass was still present (which was in varying stages of decay given time of sampling), we characterised the species, its density and form. We recorded percentage cover (of the seagrass, to species level where possible, genus otherwise), but also bare ground and litter) in a 50 x 50 cm quadrat. A 20 x 20 cm quadrat, comprising sixteen 5 x 5 cm squares (in a 4x4 grid) was placed in one corner (randomly chosen) of the larger quadrat. Three of the squares were chosen at random, and the number of seagrass individuals counted. Further, shoot lengths </w:t>
      </w:r>
      <w:r w:rsidR="00D25887">
        <w:t>were recorded</w:t>
      </w:r>
      <w:r>
        <w:t xml:space="preserve"> from six random individuals per 20 x 20 cm quadrat. For mudflats, we did not place a quadrat, but notes were taken of any algal and/or litter cover over or in the immediate vicinity (within 1 m) of sediment core extraction locations.</w:t>
      </w:r>
    </w:p>
    <w:p w14:paraId="317807A0" w14:textId="77777777" w:rsidR="00B779EF" w:rsidRDefault="00B779EF" w:rsidP="00B24034"/>
    <w:p w14:paraId="1882EF87" w14:textId="77777777" w:rsidR="00ED3A43" w:rsidRDefault="00ED3A43" w:rsidP="00ED3A43">
      <w:pPr>
        <w:pStyle w:val="Heading3"/>
      </w:pPr>
      <w:bookmarkStart w:id="8" w:name="_Toc193712321"/>
      <w:bookmarkStart w:id="9" w:name="_Toc204240462"/>
      <w:bookmarkStart w:id="10" w:name="_Toc213934201"/>
      <w:r>
        <w:t>Seagrass and Mudflat Denitrification and Potential Drivers: Sample Collection for Analysis</w:t>
      </w:r>
      <w:bookmarkEnd w:id="8"/>
      <w:bookmarkEnd w:id="9"/>
      <w:bookmarkEnd w:id="10"/>
    </w:p>
    <w:p w14:paraId="49E60D2A" w14:textId="77777777" w:rsidR="001B68DE" w:rsidRPr="007713E2" w:rsidRDefault="0048435C" w:rsidP="001B68DE">
      <w:pPr>
        <w:rPr>
          <w:color w:val="FF0000"/>
        </w:rPr>
      </w:pPr>
      <w:r>
        <w:t>F</w:t>
      </w:r>
      <w:r>
        <w:t xml:space="preserve">rom within the boundaries of the quadrat in </w:t>
      </w:r>
      <w:r>
        <w:t>seagrass beds,</w:t>
      </w:r>
      <w:r>
        <w:t xml:space="preserve"> </w:t>
      </w:r>
      <w:r>
        <w:t>or</w:t>
      </w:r>
      <w:r>
        <w:t xml:space="preserve"> at a given sampling location </w:t>
      </w:r>
      <w:r>
        <w:t xml:space="preserve">in </w:t>
      </w:r>
      <w:r>
        <w:t>mudflat</w:t>
      </w:r>
      <w:r>
        <w:t>s, t</w:t>
      </w:r>
      <w:r w:rsidRPr="00D10E8D">
        <w:t xml:space="preserve">wo black plastic cores of 68 mm internal diameter, and 22 cm depth were hammered into the sediment, having removed </w:t>
      </w:r>
      <w:r>
        <w:t>any interfering v</w:t>
      </w:r>
      <w:r w:rsidRPr="00D10E8D">
        <w:t xml:space="preserve">egetation first, leaving approximately 2 cm </w:t>
      </w:r>
      <w:r>
        <w:t xml:space="preserve">of the core </w:t>
      </w:r>
      <w:r w:rsidRPr="00D10E8D">
        <w:t>showing above ground. Cores were then extracted</w:t>
      </w:r>
      <w:r>
        <w:t xml:space="preserve"> with a post-hole spade</w:t>
      </w:r>
      <w:r w:rsidRPr="00D10E8D">
        <w:t>, capped at both ends</w:t>
      </w:r>
      <w:r>
        <w:t xml:space="preserve"> in black plastic</w:t>
      </w:r>
      <w:r w:rsidRPr="00D10E8D">
        <w:t>, appropriately labelled and kept as cool as practicable (but not frozen) until transfer to Bangor University for laboratory analysis.</w:t>
      </w:r>
      <w:r>
        <w:t xml:space="preserve"> In the field, they were kept cool in insulated plastic boxes, with ice packs subsequently added at the end of each day in the field, exchanged daily for fresh ice packs for the duration of sampling and transfer to Bangor University </w:t>
      </w:r>
      <w:r w:rsidRPr="00CC12CB">
        <w:t>laboratory. Prior to analysis, cores were kept in a cool room at 3</w:t>
      </w:r>
      <w:r w:rsidRPr="00CC12CB">
        <w:rPr>
          <w:rFonts w:cs="Arial"/>
        </w:rPr>
        <w:t>°</w:t>
      </w:r>
      <w:r w:rsidRPr="00CC12CB">
        <w:t>C.</w:t>
      </w:r>
      <w:r>
        <w:t xml:space="preserve"> </w:t>
      </w:r>
      <w:r w:rsidRPr="00D10E8D">
        <w:t xml:space="preserve"> </w:t>
      </w:r>
      <w:r w:rsidR="001B68DE" w:rsidRPr="00D10E8D">
        <w:t xml:space="preserve">We used sediment extracts from these cores, </w:t>
      </w:r>
      <w:r w:rsidR="001B68DE">
        <w:t xml:space="preserve">after </w:t>
      </w:r>
      <w:r w:rsidR="001B68DE" w:rsidRPr="00D10E8D">
        <w:t xml:space="preserve">the denitrification assays described in the </w:t>
      </w:r>
      <w:r w:rsidR="001B68DE">
        <w:t xml:space="preserve">Laboratory analyses </w:t>
      </w:r>
      <w:r w:rsidR="001B68DE" w:rsidRPr="00D10E8D">
        <w:t xml:space="preserve">section, for characterisation of organic matter content </w:t>
      </w:r>
      <w:r w:rsidR="001B68DE">
        <w:t>and bulk density measures</w:t>
      </w:r>
      <w:r w:rsidR="001B68DE" w:rsidRPr="00D10E8D">
        <w:t>.</w:t>
      </w:r>
      <w:r w:rsidR="001B68DE">
        <w:rPr>
          <w:color w:val="FF0000"/>
        </w:rPr>
        <w:t xml:space="preserve">   </w:t>
      </w:r>
    </w:p>
    <w:p w14:paraId="13A33D61" w14:textId="4008F27F" w:rsidR="00ED3A43" w:rsidRDefault="00ED3A43" w:rsidP="00ED3A43">
      <w:r w:rsidRPr="00F86F5C">
        <w:t xml:space="preserve">After coring, we extracted porewater samples from one of the core holes in each of the first four quadrat locations, at 5, 10 and 15 cm depth. We inserted </w:t>
      </w:r>
      <w:proofErr w:type="spellStart"/>
      <w:r w:rsidRPr="00F86F5C">
        <w:t>Rhizon</w:t>
      </w:r>
      <w:proofErr w:type="spellEnd"/>
      <w:r w:rsidRPr="00F86F5C">
        <w:t xml:space="preserve"> samplers of 5 cm length into the outer core walls at the given depth, extracting into a syringe prior to transfer to a Falcon tube for onward transfer to the </w:t>
      </w:r>
      <w:r w:rsidRPr="00867820">
        <w:t>laboratory</w:t>
      </w:r>
      <w:bookmarkStart w:id="11" w:name="_Hlk202887191"/>
      <w:r w:rsidRPr="00867820">
        <w:t>. Typically, we waited between 30 to 60 minutes, and never less than 20 minutes, attempting to extract at least 2 ml of sample.</w:t>
      </w:r>
      <w:r>
        <w:t xml:space="preserve"> </w:t>
      </w:r>
    </w:p>
    <w:bookmarkEnd w:id="11"/>
    <w:p w14:paraId="787671B3" w14:textId="23D5A4FD" w:rsidR="00ED3A43" w:rsidRPr="00425B53" w:rsidRDefault="00ED3A43" w:rsidP="00ED3A43">
      <w:r>
        <w:t>Where practicable, we took seawater samples each day we were at the coastal site approximately 1</w:t>
      </w:r>
      <w:r w:rsidRPr="6E983BF3">
        <w:rPr>
          <w:rFonts w:cs="Arial"/>
          <w:color w:val="1F1F1F"/>
          <w:szCs w:val="24"/>
        </w:rPr>
        <w:t xml:space="preserve"> –</w:t>
      </w:r>
      <w:r w:rsidRPr="6E983BF3">
        <w:rPr>
          <w:rFonts w:cs="Arial"/>
          <w:szCs w:val="24"/>
        </w:rPr>
        <w:t xml:space="preserve"> </w:t>
      </w:r>
      <w:r>
        <w:t>2 hours either side of high tide i.e. to get samples on the flood and ebb tide.</w:t>
      </w:r>
      <w:r w:rsidR="0063251D">
        <w:t xml:space="preserve"> </w:t>
      </w:r>
    </w:p>
    <w:p w14:paraId="4839D184" w14:textId="5AD990ED" w:rsidR="00ED3A43" w:rsidRDefault="00ED3A43" w:rsidP="00B24034">
      <w:pPr>
        <w:rPr>
          <w:highlight w:val="yellow"/>
        </w:rPr>
      </w:pPr>
      <w:r w:rsidRPr="00EE6380">
        <w:t xml:space="preserve">Laboratory analyses were undertaken on the cores to assess denitrification rates (see below) and subsequently for loss-on-ignition and bulk density. </w:t>
      </w:r>
    </w:p>
    <w:p w14:paraId="24529441" w14:textId="77777777" w:rsidR="00ED3A43" w:rsidRDefault="00ED3A43" w:rsidP="00B24034">
      <w:pPr>
        <w:rPr>
          <w:highlight w:val="yellow"/>
        </w:rPr>
      </w:pPr>
    </w:p>
    <w:p w14:paraId="2FACFE4E" w14:textId="77777777" w:rsidR="00ED3A43" w:rsidRDefault="00ED3A43" w:rsidP="00B24034">
      <w:pPr>
        <w:rPr>
          <w:highlight w:val="yellow"/>
        </w:rPr>
      </w:pPr>
    </w:p>
    <w:p w14:paraId="3C638798" w14:textId="77777777" w:rsidR="00ED3A43" w:rsidRDefault="00ED3A43" w:rsidP="00B24034">
      <w:pPr>
        <w:rPr>
          <w:highlight w:val="yellow"/>
        </w:rPr>
      </w:pPr>
    </w:p>
    <w:p w14:paraId="5DE7966E" w14:textId="77777777" w:rsidR="00ED3A43" w:rsidRDefault="00ED3A43" w:rsidP="00B24034">
      <w:pPr>
        <w:rPr>
          <w:highlight w:val="yellow"/>
        </w:rPr>
      </w:pPr>
    </w:p>
    <w:p w14:paraId="05824C5B" w14:textId="77777777" w:rsidR="00667E2D" w:rsidRDefault="00667E2D" w:rsidP="00667E2D">
      <w:pPr>
        <w:pStyle w:val="Heading2"/>
      </w:pPr>
      <w:bookmarkStart w:id="12" w:name="_Toc204240463"/>
      <w:bookmarkStart w:id="13" w:name="_Toc213934202"/>
      <w:r>
        <w:lastRenderedPageBreak/>
        <w:t>Laboratory Analyses</w:t>
      </w:r>
      <w:bookmarkEnd w:id="12"/>
      <w:bookmarkEnd w:id="13"/>
    </w:p>
    <w:p w14:paraId="15E8E30E" w14:textId="77777777" w:rsidR="00667E2D" w:rsidRDefault="00667E2D" w:rsidP="00667E2D">
      <w:pPr>
        <w:pStyle w:val="Heading3"/>
      </w:pPr>
      <w:bookmarkStart w:id="14" w:name="_Toc204240464"/>
      <w:bookmarkStart w:id="15" w:name="_Toc213934203"/>
      <w:r>
        <w:t>Denitrification Dynamics: The Wetland Hydroperiod Simulator Approach</w:t>
      </w:r>
      <w:bookmarkEnd w:id="14"/>
      <w:bookmarkEnd w:id="15"/>
    </w:p>
    <w:p w14:paraId="225B5D30" w14:textId="77777777" w:rsidR="00667E2D" w:rsidRDefault="00667E2D" w:rsidP="00667E2D">
      <w:pPr>
        <w:pStyle w:val="NoSpacing"/>
        <w:rPr>
          <w:rFonts w:cstheme="minorHAnsi"/>
        </w:rPr>
      </w:pPr>
    </w:p>
    <w:p w14:paraId="2612D0C2" w14:textId="57344304" w:rsidR="00667E2D" w:rsidRPr="008E2B49" w:rsidRDefault="00667E2D" w:rsidP="00667E2D">
      <w:pPr>
        <w:pStyle w:val="NoSpacing"/>
        <w:rPr>
          <w:rFonts w:cstheme="minorHAnsi"/>
          <w:szCs w:val="24"/>
        </w:rPr>
      </w:pPr>
      <w:bookmarkStart w:id="16" w:name="_Hlk193714919"/>
      <w:r w:rsidRPr="008E2B49">
        <w:rPr>
          <w:rFonts w:cstheme="minorHAnsi"/>
          <w:szCs w:val="24"/>
        </w:rPr>
        <w:t xml:space="preserve">Denitrification rates from the whole core samples were analysed using the custom-built Wetland Hydroperiod </w:t>
      </w:r>
      <w:r w:rsidRPr="00F51C52">
        <w:rPr>
          <w:rFonts w:cstheme="minorHAnsi"/>
          <w:szCs w:val="24"/>
        </w:rPr>
        <w:t xml:space="preserve">Simulator (WHS; </w:t>
      </w:r>
      <w:r w:rsidRPr="00F51C52">
        <w:rPr>
          <w:rFonts w:cstheme="minorHAnsi"/>
          <w:szCs w:val="24"/>
          <w:highlight w:val="yellow"/>
        </w:rPr>
        <w:fldChar w:fldCharType="begin"/>
      </w:r>
      <w:r w:rsidRPr="00F51C52">
        <w:rPr>
          <w:rFonts w:cstheme="minorHAnsi"/>
          <w:szCs w:val="24"/>
        </w:rPr>
        <w:instrText xml:space="preserve"> REF _Ref177714202 \h </w:instrText>
      </w:r>
      <w:r>
        <w:rPr>
          <w:rFonts w:cstheme="minorHAnsi"/>
          <w:szCs w:val="24"/>
          <w:highlight w:val="yellow"/>
        </w:rPr>
        <w:instrText xml:space="preserve"> \* MERGEFORMAT </w:instrText>
      </w:r>
      <w:r w:rsidRPr="00F51C52">
        <w:rPr>
          <w:rFonts w:cstheme="minorHAnsi"/>
          <w:szCs w:val="24"/>
          <w:highlight w:val="yellow"/>
        </w:rPr>
      </w:r>
      <w:r w:rsidRPr="00F51C52">
        <w:rPr>
          <w:rFonts w:cstheme="minorHAnsi"/>
          <w:szCs w:val="24"/>
          <w:highlight w:val="yellow"/>
        </w:rPr>
        <w:fldChar w:fldCharType="separate"/>
      </w:r>
      <w:r w:rsidR="00235004" w:rsidRPr="00235004">
        <w:rPr>
          <w:szCs w:val="24"/>
        </w:rPr>
        <w:t xml:space="preserve">Figure </w:t>
      </w:r>
      <w:r w:rsidRPr="00F51C52">
        <w:rPr>
          <w:rFonts w:cstheme="minorHAnsi"/>
          <w:szCs w:val="24"/>
          <w:highlight w:val="yellow"/>
        </w:rPr>
        <w:fldChar w:fldCharType="end"/>
      </w:r>
      <w:r w:rsidR="000F650D">
        <w:rPr>
          <w:rFonts w:cstheme="minorHAnsi"/>
          <w:szCs w:val="24"/>
        </w:rPr>
        <w:t>1</w:t>
      </w:r>
      <w:r w:rsidRPr="00F51C52">
        <w:rPr>
          <w:rFonts w:cstheme="minorHAnsi"/>
          <w:szCs w:val="24"/>
        </w:rPr>
        <w:t>). Th</w:t>
      </w:r>
      <w:r w:rsidRPr="008E2B49">
        <w:rPr>
          <w:rFonts w:cstheme="minorHAnsi"/>
          <w:szCs w:val="24"/>
        </w:rPr>
        <w:t>e WHS consists of a chamber linked to a water reservoir via a system of pipework. The water reservoir is fitted to a raising platform which can alter the level of water in the cores. This level is controlled by the WHS, using</w:t>
      </w:r>
      <w:r>
        <w:rPr>
          <w:rFonts w:cstheme="minorHAnsi"/>
          <w:szCs w:val="24"/>
        </w:rPr>
        <w:t xml:space="preserve"> </w:t>
      </w:r>
      <w:r w:rsidRPr="008E2B49">
        <w:rPr>
          <w:rFonts w:cstheme="minorHAnsi"/>
          <w:szCs w:val="24"/>
        </w:rPr>
        <w:t>Raspberry Pi</w:t>
      </w:r>
      <w:r>
        <w:rPr>
          <w:rFonts w:cstheme="minorHAnsi"/>
          <w:szCs w:val="24"/>
        </w:rPr>
        <w:t xml:space="preserve"> computing</w:t>
      </w:r>
      <w:r w:rsidRPr="008E2B49">
        <w:rPr>
          <w:rFonts w:cstheme="minorHAnsi"/>
          <w:szCs w:val="24"/>
        </w:rPr>
        <w:t>, coded to simulate the water level changes of a 24-hour neap tide.</w:t>
      </w:r>
    </w:p>
    <w:p w14:paraId="3ADF5F8B" w14:textId="77777777" w:rsidR="00667E2D" w:rsidRDefault="00667E2D" w:rsidP="00667E2D">
      <w:pPr>
        <w:pStyle w:val="NoSpacing"/>
        <w:spacing w:after="160" w:line="259" w:lineRule="auto"/>
        <w:rPr>
          <w:rFonts w:cstheme="minorHAnsi"/>
        </w:rPr>
      </w:pPr>
      <w:r>
        <w:rPr>
          <w:rFonts w:cstheme="minorHAnsi"/>
          <w:noProof/>
        </w:rPr>
        <w:drawing>
          <wp:inline distT="0" distB="0" distL="0" distR="0" wp14:anchorId="77EF4718" wp14:editId="318767BE">
            <wp:extent cx="5731510" cy="3223895"/>
            <wp:effectExtent l="0" t="0" r="2540" b="0"/>
            <wp:docPr id="17423553" name="Picture 1"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3553" name="Picture 1" descr="A close-up of a machin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p w14:paraId="266132C3" w14:textId="04F7F90C" w:rsidR="00667E2D" w:rsidRPr="00807C1A" w:rsidRDefault="00667E2D" w:rsidP="00667E2D">
      <w:pPr>
        <w:pStyle w:val="Caption"/>
        <w:rPr>
          <w:rFonts w:asciiTheme="minorHAnsi" w:hAnsiTheme="minorHAnsi" w:cstheme="minorHAnsi"/>
          <w:sz w:val="20"/>
          <w:szCs w:val="20"/>
        </w:rPr>
      </w:pPr>
      <w:bookmarkStart w:id="17" w:name="_Ref177714202"/>
      <w:r w:rsidRPr="00807C1A">
        <w:rPr>
          <w:sz w:val="20"/>
          <w:szCs w:val="20"/>
        </w:rPr>
        <w:t xml:space="preserve">Figure </w:t>
      </w:r>
      <w:bookmarkEnd w:id="17"/>
      <w:r w:rsidR="000F650D">
        <w:rPr>
          <w:sz w:val="20"/>
          <w:szCs w:val="20"/>
        </w:rPr>
        <w:t>1</w:t>
      </w:r>
      <w:r>
        <w:rPr>
          <w:sz w:val="20"/>
          <w:szCs w:val="20"/>
        </w:rPr>
        <w:t>:</w:t>
      </w:r>
      <w:r w:rsidRPr="00807C1A">
        <w:rPr>
          <w:rFonts w:asciiTheme="minorHAnsi" w:hAnsiTheme="minorHAnsi" w:cstheme="minorHAnsi"/>
          <w:sz w:val="20"/>
          <w:szCs w:val="20"/>
        </w:rPr>
        <w:t xml:space="preserve"> The components of Bangor University’s Wetland Hydroperiod Simulator (WHS).</w:t>
      </w:r>
    </w:p>
    <w:p w14:paraId="79E51F74" w14:textId="77777777" w:rsidR="00667E2D" w:rsidRDefault="00667E2D" w:rsidP="00667E2D">
      <w:pPr>
        <w:pStyle w:val="NoSpacing"/>
        <w:rPr>
          <w:rFonts w:cstheme="minorHAnsi"/>
        </w:rPr>
      </w:pPr>
    </w:p>
    <w:p w14:paraId="0918EFF6" w14:textId="77777777" w:rsidR="00DA3243" w:rsidRDefault="00667E2D" w:rsidP="00667E2D">
      <w:pPr>
        <w:spacing w:after="0" w:line="240" w:lineRule="auto"/>
      </w:pPr>
      <w:r w:rsidRPr="2CDFE948">
        <w:t>To calculate actual denitrification for one sample, two cores were taken per quadrat, one to undergo acetylene (C</w:t>
      </w:r>
      <w:r w:rsidRPr="2CDFE948">
        <w:rPr>
          <w:vertAlign w:val="subscript"/>
        </w:rPr>
        <w:t>2</w:t>
      </w:r>
      <w:r w:rsidRPr="2CDFE948">
        <w:t>H</w:t>
      </w:r>
      <w:r w:rsidRPr="2CDFE948">
        <w:rPr>
          <w:vertAlign w:val="subscript"/>
        </w:rPr>
        <w:t>2</w:t>
      </w:r>
      <w:r w:rsidRPr="2CDFE948">
        <w:t xml:space="preserve">) inhibition </w:t>
      </w:r>
      <w:r w:rsidRPr="005C7832">
        <w:t xml:space="preserve">and one to act as a control. </w:t>
      </w:r>
    </w:p>
    <w:p w14:paraId="752A5621" w14:textId="77777777" w:rsidR="00667E2D" w:rsidRPr="008E2B49" w:rsidRDefault="00667E2D" w:rsidP="00667E2D">
      <w:pPr>
        <w:spacing w:after="0" w:line="240" w:lineRule="auto"/>
        <w:rPr>
          <w:szCs w:val="24"/>
        </w:rPr>
      </w:pPr>
    </w:p>
    <w:p w14:paraId="79358279" w14:textId="77777777" w:rsidR="00AC2B12" w:rsidRDefault="00667E2D" w:rsidP="00667E2D">
      <w:pPr>
        <w:pStyle w:val="NoSpacing"/>
      </w:pPr>
      <w:r w:rsidRPr="63918613">
        <w:t>Cores were placed in the chambers with a set volume of water (800 ml in a chamber and 1 L in a reservoir), calculated based on the depth of cores and tidal depth required. The nutrient (phosphate, NO</w:t>
      </w:r>
      <w:r w:rsidRPr="63918613">
        <w:rPr>
          <w:vertAlign w:val="subscript"/>
        </w:rPr>
        <w:t>3</w:t>
      </w:r>
      <w:r w:rsidRPr="63918613">
        <w:rPr>
          <w:vertAlign w:val="superscript"/>
        </w:rPr>
        <w:t>-</w:t>
      </w:r>
      <w:r w:rsidRPr="63918613">
        <w:t>, NO</w:t>
      </w:r>
      <w:r w:rsidRPr="63918613">
        <w:rPr>
          <w:vertAlign w:val="subscript"/>
        </w:rPr>
        <w:t>2</w:t>
      </w:r>
      <w:r w:rsidRPr="63918613">
        <w:rPr>
          <w:vertAlign w:val="superscript"/>
        </w:rPr>
        <w:t>-</w:t>
      </w:r>
      <w:r w:rsidRPr="63918613">
        <w:t>, and ammonium (NH</w:t>
      </w:r>
      <w:r w:rsidRPr="63918613">
        <w:rPr>
          <w:vertAlign w:val="subscript"/>
        </w:rPr>
        <w:t>4</w:t>
      </w:r>
      <w:r w:rsidRPr="63918613">
        <w:rPr>
          <w:vertAlign w:val="superscript"/>
        </w:rPr>
        <w:t>+</w:t>
      </w:r>
      <w:r w:rsidRPr="63918613">
        <w:t>)) and ion (chloride (Cl</w:t>
      </w:r>
      <w:r w:rsidRPr="63918613">
        <w:rPr>
          <w:vertAlign w:val="superscript"/>
        </w:rPr>
        <w:t>-</w:t>
      </w:r>
      <w:r w:rsidRPr="63918613">
        <w:t>), sodium (Na</w:t>
      </w:r>
      <w:r w:rsidRPr="63918613">
        <w:rPr>
          <w:vertAlign w:val="superscript"/>
        </w:rPr>
        <w:t>2+</w:t>
      </w:r>
      <w:r w:rsidRPr="63918613">
        <w:t>), potassium (K</w:t>
      </w:r>
      <w:r w:rsidRPr="63918613">
        <w:rPr>
          <w:vertAlign w:val="superscript"/>
        </w:rPr>
        <w:t>+</w:t>
      </w:r>
      <w:r w:rsidRPr="63918613">
        <w:t>), bromide (Br</w:t>
      </w:r>
      <w:r w:rsidRPr="63918613">
        <w:rPr>
          <w:vertAlign w:val="superscript"/>
        </w:rPr>
        <w:t>-</w:t>
      </w:r>
      <w:r w:rsidRPr="63918613">
        <w:t>), magnesium (Mg</w:t>
      </w:r>
      <w:r w:rsidRPr="63918613">
        <w:rPr>
          <w:vertAlign w:val="superscript"/>
        </w:rPr>
        <w:t>3+</w:t>
      </w:r>
      <w:r w:rsidRPr="63918613">
        <w:t>) and calcium (Ca</w:t>
      </w:r>
      <w:r w:rsidRPr="63918613">
        <w:rPr>
          <w:vertAlign w:val="superscript"/>
        </w:rPr>
        <w:t>2+</w:t>
      </w:r>
      <w:r w:rsidRPr="63918613">
        <w:t xml:space="preserve">)) composition of the water was artificially created, with amounts of nutrients and ions informed by the tidal samples collected for the </w:t>
      </w:r>
      <w:r>
        <w:t>coastal habitat</w:t>
      </w:r>
      <w:r w:rsidRPr="63918613">
        <w:t xml:space="preserve"> cores being tested in any given run. In general, flood samples were used to inform conditions in the WHS, as we considered these to supply substrate for denitrification. </w:t>
      </w:r>
    </w:p>
    <w:p w14:paraId="5DDC4CA6" w14:textId="6BAF458A" w:rsidR="00667E2D" w:rsidRPr="00951B00" w:rsidRDefault="00667E2D" w:rsidP="00667E2D">
      <w:pPr>
        <w:pStyle w:val="NoSpacing"/>
        <w:rPr>
          <w:rFonts w:cstheme="minorHAnsi"/>
          <w:szCs w:val="24"/>
        </w:rPr>
      </w:pPr>
      <w:r w:rsidRPr="2E1D4BE3">
        <w:t xml:space="preserve">Chambers were sealed and acetylene chamber atmospheres were then altered to a 0.1 N atmosphere of acetylene. After the chambers were connected to the reservoirs, via the pipework, the water reservoirs for the acetylene chambers were also spiked to a 0.1 N acetylene atmosphere. </w:t>
      </w:r>
      <w:r>
        <w:t xml:space="preserve">The water in both the chambers and reservoirs was flushed with acetylene once filled. </w:t>
      </w:r>
      <w:r w:rsidRPr="2E1D4BE3">
        <w:t>Once all chambers were connected, a 10 mL gas sample was taken and transferred to a 5 mL gas-tight glass container, this was referred to as a Time Zero sample (T0). The WHS then ran a full 24-hour tidal cycle. At the end of this cycle, a second gas sample was taken (T24).</w:t>
      </w:r>
      <w:r>
        <w:t xml:space="preserve"> Temperature was recorded each time a gas sample was taken. Further, the headspace was </w:t>
      </w:r>
      <w:r>
        <w:lastRenderedPageBreak/>
        <w:t>manually pumped with a syringe prior to taking a gas sample, to avoid underestimating denitrification rates through gas being trapped in soil cores and to ensure that the air was homogenised to avoid density separation. In general, t</w:t>
      </w:r>
      <w:r w:rsidRPr="2E1D4BE3">
        <w:t>he climate conditions in the laboratory were kept as constant as possible from denitrification run to denitrification run</w:t>
      </w:r>
      <w:r>
        <w:t xml:space="preserve">. Given that, we can attribute </w:t>
      </w:r>
      <w:r w:rsidRPr="2E1D4BE3">
        <w:t xml:space="preserve">differences in denitrification rate associated with the cores to </w:t>
      </w:r>
      <w:r>
        <w:t xml:space="preserve">their </w:t>
      </w:r>
      <w:r w:rsidRPr="2E1D4BE3">
        <w:t>characteristics</w:t>
      </w:r>
      <w:r>
        <w:t>,</w:t>
      </w:r>
      <w:r w:rsidRPr="2E1D4BE3">
        <w:t xml:space="preserve"> including the vegetation community from which they were extracted</w:t>
      </w:r>
      <w:r>
        <w:t>,</w:t>
      </w:r>
      <w:r w:rsidRPr="2E1D4BE3">
        <w:t xml:space="preserve"> and the nutrient relationships of the estuarine water</w:t>
      </w:r>
      <w:r w:rsidR="00C95A72">
        <w:t xml:space="preserve">. </w:t>
      </w:r>
    </w:p>
    <w:p w14:paraId="1FEEA7A5" w14:textId="77777777" w:rsidR="00667E2D" w:rsidRDefault="00667E2D" w:rsidP="00667E2D">
      <w:pPr>
        <w:pStyle w:val="Heading3"/>
      </w:pPr>
      <w:bookmarkStart w:id="18" w:name="_Toc204240465"/>
      <w:bookmarkStart w:id="19" w:name="_Toc213934204"/>
      <w:bookmarkEnd w:id="16"/>
      <w:r>
        <w:t>Denitrification Dynamics: Gas Analysis</w:t>
      </w:r>
      <w:bookmarkEnd w:id="18"/>
      <w:bookmarkEnd w:id="19"/>
    </w:p>
    <w:p w14:paraId="21A22169" w14:textId="77777777" w:rsidR="00667E2D" w:rsidRPr="008E2B49" w:rsidRDefault="00667E2D" w:rsidP="00667E2D">
      <w:bookmarkStart w:id="20" w:name="_Hlk193715261"/>
      <w:r w:rsidRPr="7C43E6F5">
        <w:t>Gas samples collected from the tidal core method, were analysed by gas chromatography using a Varian model 450 gas chromatograph (GC) instrument, equipped with an electron capture detector (ECD) for N</w:t>
      </w:r>
      <w:r w:rsidRPr="7C43E6F5">
        <w:rPr>
          <w:vertAlign w:val="subscript"/>
        </w:rPr>
        <w:t>2</w:t>
      </w:r>
      <w:r w:rsidRPr="7C43E6F5">
        <w:t xml:space="preserve">O. Two mL of gas from the gas-tight glass containers (Exetainers®) containing the samples was injected via a 1041 on-column injector system, set at 40⁰C, onto a </w:t>
      </w:r>
      <w:proofErr w:type="spellStart"/>
      <w:r w:rsidRPr="7C43E6F5">
        <w:t>PoroPak</w:t>
      </w:r>
      <w:proofErr w:type="spellEnd"/>
      <w:r w:rsidRPr="7C43E6F5">
        <w:t xml:space="preserve"> QS (1.83 m x 3.18 mm) 80/100 column. The septum of this system was changed after approximately 500 injections. The column oven temperature was set to 40⁰C and the carrier gas, oxygen-free nitrogen, had a flow rate of 30 mL min</w:t>
      </w:r>
      <w:r w:rsidRPr="7C43E6F5">
        <w:rPr>
          <w:vertAlign w:val="superscript"/>
        </w:rPr>
        <w:t>-1</w:t>
      </w:r>
      <w:r w:rsidRPr="7C43E6F5">
        <w:t>. The temperature of the ECD was 340⁰</w:t>
      </w:r>
      <w:r w:rsidRPr="00AE1E33">
        <w:t>C with a constant flow of 20 mL min</w:t>
      </w:r>
      <w:r w:rsidRPr="00AE1E33">
        <w:rPr>
          <w:vertAlign w:val="superscript"/>
        </w:rPr>
        <w:t>-1</w:t>
      </w:r>
      <w:r w:rsidRPr="00AE1E33">
        <w:t xml:space="preserve"> of oxygen-free nitrogen. Injection of the samples was achieved with a Combi PAL headspace auto-sampler (CTC Analytics, </w:t>
      </w:r>
      <w:proofErr w:type="spellStart"/>
      <w:r w:rsidRPr="00AE1E33">
        <w:t>Zwingen</w:t>
      </w:r>
      <w:proofErr w:type="spellEnd"/>
      <w:r w:rsidRPr="00AE1E33">
        <w:t>, Switzerland) equipped with a 5 mL syringe and specially constructed trays for holding 50 individual 5.9 mL Exetainers®. N</w:t>
      </w:r>
      <w:r w:rsidRPr="00AE1E33">
        <w:rPr>
          <w:vertAlign w:val="subscript"/>
        </w:rPr>
        <w:t>2</w:t>
      </w:r>
      <w:r w:rsidRPr="00AE1E33">
        <w:t xml:space="preserve">O (retention time 3.26 minutes) was quantified by comparison of peak area with that of four standards of known concentration (0.3, 1.5, 5 and 40 ppm), prepared by BOC (an industrial gases company) and used in the preparation of a standard curve, which </w:t>
      </w:r>
      <w:r>
        <w:rPr>
          <w:rFonts w:cstheme="minorHAnsi"/>
        </w:rPr>
        <w:t>—</w:t>
      </w:r>
      <w:r w:rsidRPr="00AE1E33">
        <w:t xml:space="preserve"> according to standard laboratory protocol </w:t>
      </w:r>
      <w:r>
        <w:rPr>
          <w:rFonts w:cstheme="minorHAnsi"/>
        </w:rPr>
        <w:t xml:space="preserve">— </w:t>
      </w:r>
      <w:r w:rsidRPr="00AE1E33">
        <w:t>was only accepted if the correlation coefficient</w:t>
      </w:r>
      <w:r w:rsidRPr="7C43E6F5">
        <w:t xml:space="preserve"> (R</w:t>
      </w:r>
      <w:r w:rsidRPr="7C43E6F5">
        <w:rPr>
          <w:vertAlign w:val="superscript"/>
        </w:rPr>
        <w:t>2</w:t>
      </w:r>
      <w:r w:rsidRPr="7C43E6F5">
        <w:t>) value was greater than 0.98; indicating the strongest relationship between the variables.</w:t>
      </w:r>
      <w:bookmarkEnd w:id="20"/>
    </w:p>
    <w:p w14:paraId="63E88306" w14:textId="77777777" w:rsidR="00667E2D" w:rsidRDefault="00667E2D" w:rsidP="00667E2D">
      <w:pPr>
        <w:pStyle w:val="Heading3"/>
      </w:pPr>
      <w:bookmarkStart w:id="21" w:name="_Toc204240466"/>
      <w:bookmarkStart w:id="22" w:name="_Toc213934205"/>
      <w:r>
        <w:t>Denitrification Dynamics: Calculation of Potential Denitrification Rates</w:t>
      </w:r>
      <w:bookmarkEnd w:id="21"/>
      <w:bookmarkEnd w:id="22"/>
    </w:p>
    <w:p w14:paraId="69F75AC3" w14:textId="77777777" w:rsidR="00667E2D" w:rsidRPr="008E2B49" w:rsidRDefault="00667E2D" w:rsidP="00667E2D">
      <w:pPr>
        <w:spacing w:after="0" w:line="240" w:lineRule="auto"/>
        <w:rPr>
          <w:rFonts w:cstheme="minorHAnsi"/>
          <w:szCs w:val="24"/>
        </w:rPr>
      </w:pPr>
      <w:bookmarkStart w:id="23" w:name="_Hlk193715287"/>
      <w:r w:rsidRPr="008E2B49">
        <w:rPr>
          <w:rFonts w:cstheme="minorHAnsi"/>
          <w:szCs w:val="24"/>
        </w:rPr>
        <w:t>We used the following set of equations to calculate denitrification rate:</w:t>
      </w:r>
    </w:p>
    <w:p w14:paraId="5161E605" w14:textId="77777777" w:rsidR="00667E2D" w:rsidRPr="008E2B49" w:rsidRDefault="00667E2D" w:rsidP="00667E2D">
      <w:pPr>
        <w:spacing w:after="0" w:line="240" w:lineRule="auto"/>
        <w:rPr>
          <w:rFonts w:cstheme="minorHAnsi"/>
          <w:szCs w:val="24"/>
        </w:rPr>
      </w:pPr>
    </w:p>
    <w:p w14:paraId="33C23F55" w14:textId="77777777" w:rsidR="00667E2D" w:rsidRPr="008E2B49" w:rsidRDefault="00667E2D" w:rsidP="00667E2D">
      <w:pPr>
        <w:spacing w:after="0" w:line="240" w:lineRule="auto"/>
        <w:rPr>
          <w:rFonts w:cstheme="minorHAnsi"/>
          <w:szCs w:val="24"/>
        </w:rPr>
      </w:pPr>
      <m:oMath>
        <m:r>
          <w:rPr>
            <w:rFonts w:ascii="Cambria Math" w:eastAsiaTheme="minorEastAsia" w:hAnsi="Cambria Math" w:cstheme="minorHAnsi"/>
            <w:szCs w:val="24"/>
          </w:rPr>
          <m:t xml:space="preserve">DR </m:t>
        </m:r>
        <m:d>
          <m:dPr>
            <m:ctrlPr>
              <w:rPr>
                <w:rFonts w:ascii="Cambria Math" w:eastAsiaTheme="minorEastAsia" w:hAnsi="Cambria Math" w:cstheme="minorHAnsi"/>
                <w:i/>
                <w:szCs w:val="24"/>
              </w:rPr>
            </m:ctrlPr>
          </m:dPr>
          <m:e>
            <m:r>
              <w:rPr>
                <w:rFonts w:ascii="Cambria Math" w:eastAsiaTheme="minorEastAsia" w:hAnsi="Cambria Math" w:cstheme="minorHAnsi"/>
                <w:szCs w:val="24"/>
              </w:rPr>
              <m:t xml:space="preserve">mg </m:t>
            </m:r>
            <m:sSup>
              <m:sSupPr>
                <m:ctrlPr>
                  <w:rPr>
                    <w:rFonts w:ascii="Cambria Math" w:eastAsiaTheme="minorEastAsia" w:hAnsi="Cambria Math" w:cstheme="minorHAnsi"/>
                    <w:i/>
                    <w:szCs w:val="24"/>
                  </w:rPr>
                </m:ctrlPr>
              </m:sSupPr>
              <m:e>
                <m:r>
                  <w:rPr>
                    <w:rFonts w:ascii="Cambria Math" w:eastAsiaTheme="minorEastAsia" w:hAnsi="Cambria Math" w:cstheme="minorHAnsi"/>
                    <w:szCs w:val="24"/>
                  </w:rPr>
                  <m:t>m</m:t>
                </m:r>
              </m:e>
              <m:sup>
                <m:r>
                  <w:rPr>
                    <w:rFonts w:ascii="Cambria Math" w:eastAsiaTheme="minorEastAsia" w:hAnsi="Cambria Math" w:cstheme="minorHAnsi"/>
                    <w:szCs w:val="24"/>
                  </w:rPr>
                  <m:t>-2</m:t>
                </m:r>
              </m:sup>
            </m:sSup>
            <m:sSup>
              <m:sSupPr>
                <m:ctrlPr>
                  <w:rPr>
                    <w:rFonts w:ascii="Cambria Math" w:eastAsiaTheme="minorEastAsia" w:hAnsi="Cambria Math" w:cstheme="minorHAnsi"/>
                    <w:i/>
                    <w:szCs w:val="24"/>
                  </w:rPr>
                </m:ctrlPr>
              </m:sSupPr>
              <m:e>
                <m:r>
                  <w:rPr>
                    <w:rFonts w:ascii="Cambria Math" w:eastAsiaTheme="minorEastAsia" w:hAnsi="Cambria Math" w:cstheme="minorHAnsi"/>
                    <w:szCs w:val="24"/>
                  </w:rPr>
                  <m:t>s</m:t>
                </m:r>
              </m:e>
              <m:sup>
                <m:r>
                  <w:rPr>
                    <w:rFonts w:ascii="Cambria Math" w:eastAsiaTheme="minorEastAsia" w:hAnsi="Cambria Math" w:cstheme="minorHAnsi"/>
                    <w:szCs w:val="24"/>
                  </w:rPr>
                  <m:t>-1</m:t>
                </m:r>
              </m:sup>
            </m:sSup>
          </m:e>
        </m:d>
        <m:r>
          <w:rPr>
            <w:rFonts w:ascii="Cambria Math" w:eastAsiaTheme="minorEastAsia" w:hAnsi="Cambria Math" w:cstheme="minorHAnsi"/>
            <w:szCs w:val="24"/>
          </w:rPr>
          <m:t>=</m:t>
        </m:r>
        <m:f>
          <m:fPr>
            <m:ctrlPr>
              <w:rPr>
                <w:rFonts w:ascii="Cambria Math" w:eastAsiaTheme="minorEastAsia" w:hAnsi="Cambria Math" w:cstheme="minorHAnsi"/>
                <w:i/>
                <w:szCs w:val="24"/>
              </w:rPr>
            </m:ctrlPr>
          </m:fPr>
          <m:num>
            <m:r>
              <w:rPr>
                <w:rFonts w:ascii="Cambria Math" w:eastAsiaTheme="minorEastAsia" w:hAnsi="Cambria Math" w:cstheme="minorHAnsi"/>
                <w:szCs w:val="24"/>
              </w:rPr>
              <m:t>TNP</m:t>
            </m:r>
          </m:num>
          <m:den>
            <m:r>
              <w:rPr>
                <w:rFonts w:ascii="Cambria Math" w:eastAsiaTheme="minorEastAsia" w:hAnsi="Cambria Math" w:cstheme="minorHAnsi"/>
                <w:szCs w:val="24"/>
              </w:rPr>
              <m:t>δt</m:t>
            </m:r>
          </m:den>
        </m:f>
        <m:r>
          <w:rPr>
            <w:rFonts w:ascii="Cambria Math" w:eastAsiaTheme="minorEastAsia" w:hAnsi="Cambria Math" w:cstheme="minorHAnsi"/>
            <w:szCs w:val="24"/>
          </w:rPr>
          <m:t>×(</m:t>
        </m:r>
        <m:f>
          <m:fPr>
            <m:ctrlPr>
              <w:rPr>
                <w:rFonts w:ascii="Cambria Math" w:eastAsiaTheme="minorEastAsia" w:hAnsi="Cambria Math" w:cstheme="minorHAnsi"/>
                <w:i/>
                <w:szCs w:val="24"/>
              </w:rPr>
            </m:ctrlPr>
          </m:fPr>
          <m:num>
            <m:r>
              <w:rPr>
                <w:rFonts w:ascii="Cambria Math" w:eastAsiaTheme="minorEastAsia" w:hAnsi="Cambria Math" w:cstheme="minorHAnsi"/>
                <w:szCs w:val="24"/>
              </w:rPr>
              <m:t>V×M</m:t>
            </m:r>
          </m:num>
          <m:den>
            <m:r>
              <w:rPr>
                <w:rFonts w:ascii="Cambria Math" w:eastAsiaTheme="minorEastAsia" w:hAnsi="Cambria Math" w:cstheme="minorHAnsi"/>
                <w:szCs w:val="24"/>
              </w:rPr>
              <m:t>S×</m:t>
            </m:r>
            <m:sSub>
              <m:sSubPr>
                <m:ctrlPr>
                  <w:rPr>
                    <w:rFonts w:ascii="Cambria Math" w:eastAsiaTheme="minorEastAsia" w:hAnsi="Cambria Math" w:cstheme="minorHAnsi"/>
                    <w:i/>
                    <w:szCs w:val="24"/>
                  </w:rPr>
                </m:ctrlPr>
              </m:sSubPr>
              <m:e>
                <m:r>
                  <w:rPr>
                    <w:rFonts w:ascii="Cambria Math" w:eastAsiaTheme="minorEastAsia" w:hAnsi="Cambria Math" w:cstheme="minorHAnsi"/>
                    <w:szCs w:val="24"/>
                  </w:rPr>
                  <m:t>V</m:t>
                </m:r>
              </m:e>
              <m:sub>
                <m:r>
                  <w:rPr>
                    <w:rFonts w:ascii="Cambria Math" w:eastAsiaTheme="minorEastAsia" w:hAnsi="Cambria Math" w:cstheme="minorHAnsi"/>
                    <w:szCs w:val="24"/>
                  </w:rPr>
                  <m:t>mol</m:t>
                </m:r>
              </m:sub>
            </m:sSub>
          </m:den>
        </m:f>
        <m:r>
          <w:rPr>
            <w:rFonts w:ascii="Cambria Math" w:eastAsiaTheme="minorEastAsia" w:hAnsi="Cambria Math" w:cstheme="minorHAnsi"/>
            <w:szCs w:val="24"/>
          </w:rPr>
          <m:t>)</m:t>
        </m:r>
      </m:oMath>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[1]</w:t>
      </w:r>
    </w:p>
    <w:p w14:paraId="3E0480D6" w14:textId="77777777" w:rsidR="00667E2D" w:rsidRPr="008E2B49" w:rsidRDefault="00667E2D" w:rsidP="00667E2D">
      <w:pPr>
        <w:spacing w:after="0" w:line="240" w:lineRule="auto"/>
        <w:rPr>
          <w:rFonts w:cstheme="minorHAnsi"/>
          <w:szCs w:val="24"/>
        </w:rPr>
      </w:pPr>
    </w:p>
    <w:p w14:paraId="4DCF6D3B" w14:textId="77777777" w:rsidR="00667E2D" w:rsidRPr="008E2B49" w:rsidRDefault="00667E2D" w:rsidP="00667E2D">
      <w:pPr>
        <w:spacing w:after="0" w:line="240" w:lineRule="auto"/>
        <w:rPr>
          <w:rFonts w:cstheme="minorHAnsi"/>
          <w:szCs w:val="24"/>
        </w:rPr>
      </w:pPr>
      <w:r w:rsidRPr="008E2B49">
        <w:rPr>
          <w:rFonts w:cstheme="minorHAnsi"/>
          <w:szCs w:val="24"/>
        </w:rPr>
        <w:t xml:space="preserve">where: </w:t>
      </w:r>
    </w:p>
    <w:p w14:paraId="299E41F5" w14:textId="77777777" w:rsidR="00667E2D" w:rsidRPr="001510A4" w:rsidRDefault="00667E2D" w:rsidP="00667E2D">
      <w:pPr>
        <w:pStyle w:val="ListParagraph"/>
        <w:numPr>
          <w:ilvl w:val="0"/>
          <w:numId w:val="3"/>
        </w:numPr>
        <w:spacing w:after="0" w:line="240" w:lineRule="auto"/>
      </w:pPr>
      <w:r w:rsidRPr="19DEE6EB">
        <w:rPr>
          <w:i/>
        </w:rPr>
        <w:t>DR</w:t>
      </w:r>
      <w:r w:rsidRPr="19DEE6EB">
        <w:t xml:space="preserve">: Denitrification rate </w:t>
      </w:r>
      <w:r w:rsidRPr="001510A4">
        <w:t>(mg N</w:t>
      </w:r>
      <w:r w:rsidRPr="001510A4">
        <w:rPr>
          <w:vertAlign w:val="subscript"/>
        </w:rPr>
        <w:t>2</w:t>
      </w:r>
      <w:r w:rsidRPr="001510A4">
        <w:t>O m</w:t>
      </w:r>
      <w:r w:rsidRPr="001510A4">
        <w:rPr>
          <w:vertAlign w:val="superscript"/>
        </w:rPr>
        <w:t>-2</w:t>
      </w:r>
      <w:r w:rsidRPr="001510A4">
        <w:t xml:space="preserve"> s</w:t>
      </w:r>
      <w:r w:rsidRPr="001510A4">
        <w:rPr>
          <w:vertAlign w:val="superscript"/>
        </w:rPr>
        <w:t>-1</w:t>
      </w:r>
      <w:r w:rsidRPr="001510A4">
        <w:t>)</w:t>
      </w:r>
    </w:p>
    <w:p w14:paraId="37551F75"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TNP</w:t>
      </w:r>
      <w:r w:rsidRPr="008E2B49">
        <w:rPr>
          <w:rFonts w:cstheme="minorHAnsi"/>
          <w:szCs w:val="24"/>
        </w:rPr>
        <w:t>: Total N</w:t>
      </w:r>
      <w:r w:rsidRPr="008E2B49">
        <w:rPr>
          <w:rFonts w:cstheme="minorHAnsi"/>
          <w:szCs w:val="24"/>
          <w:vertAlign w:val="subscript"/>
        </w:rPr>
        <w:t>2</w:t>
      </w:r>
      <w:r w:rsidRPr="008E2B49">
        <w:rPr>
          <w:rFonts w:cstheme="minorHAnsi"/>
          <w:szCs w:val="24"/>
        </w:rPr>
        <w:t>O produced (mg)</w:t>
      </w:r>
    </w:p>
    <w:p w14:paraId="57A4A1F8" w14:textId="77777777" w:rsidR="00667E2D" w:rsidRPr="008E2B49" w:rsidRDefault="00667E2D" w:rsidP="00667E2D">
      <w:pPr>
        <w:pStyle w:val="ListParagraph"/>
        <w:numPr>
          <w:ilvl w:val="0"/>
          <w:numId w:val="3"/>
        </w:numPr>
        <w:spacing w:after="0" w:line="240" w:lineRule="auto"/>
        <w:rPr>
          <w:rFonts w:cstheme="minorHAnsi"/>
          <w:szCs w:val="24"/>
        </w:rPr>
      </w:pPr>
      <w:proofErr w:type="spellStart"/>
      <w:r w:rsidRPr="008E2B49">
        <w:rPr>
          <w:rFonts w:cstheme="minorHAnsi"/>
          <w:i/>
          <w:iCs/>
          <w:szCs w:val="24"/>
        </w:rPr>
        <w:t>δt</w:t>
      </w:r>
      <w:proofErr w:type="spellEnd"/>
      <w:r w:rsidRPr="008E2B49">
        <w:rPr>
          <w:rFonts w:cstheme="minorHAnsi"/>
          <w:szCs w:val="24"/>
        </w:rPr>
        <w:t>: Change in time between first and second measurement (seconds (s))</w:t>
      </w:r>
    </w:p>
    <w:p w14:paraId="61E69875"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V</w:t>
      </w:r>
      <w:r w:rsidRPr="008E2B49">
        <w:rPr>
          <w:rFonts w:cstheme="minorHAnsi"/>
          <w:szCs w:val="24"/>
        </w:rPr>
        <w:t>: Volume of headspace in chamber (m</w:t>
      </w:r>
      <w:r w:rsidRPr="008E2B49">
        <w:rPr>
          <w:rFonts w:cstheme="minorHAnsi"/>
          <w:szCs w:val="24"/>
          <w:vertAlign w:val="superscript"/>
        </w:rPr>
        <w:t>3</w:t>
      </w:r>
      <w:r w:rsidRPr="008E2B49">
        <w:rPr>
          <w:rFonts w:cstheme="minorHAnsi"/>
          <w:szCs w:val="24"/>
        </w:rPr>
        <w:t>)</w:t>
      </w:r>
    </w:p>
    <w:p w14:paraId="6673B9E3"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M</w:t>
      </w:r>
      <w:r w:rsidRPr="008E2B49">
        <w:rPr>
          <w:rFonts w:cstheme="minorHAnsi"/>
          <w:szCs w:val="24"/>
        </w:rPr>
        <w:t>: Molecular weight of gas (mol)</w:t>
      </w:r>
    </w:p>
    <w:p w14:paraId="00AF1D33"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S</w:t>
      </w:r>
      <w:r w:rsidRPr="008E2B49">
        <w:rPr>
          <w:rFonts w:cstheme="minorHAnsi"/>
          <w:szCs w:val="24"/>
        </w:rPr>
        <w:t>: Area of core (m</w:t>
      </w:r>
      <w:r w:rsidRPr="008E2B49">
        <w:rPr>
          <w:rFonts w:cstheme="minorHAnsi"/>
          <w:szCs w:val="24"/>
          <w:vertAlign w:val="superscript"/>
        </w:rPr>
        <w:t>2</w:t>
      </w:r>
      <w:r w:rsidRPr="008E2B49">
        <w:rPr>
          <w:rFonts w:cstheme="minorHAnsi"/>
          <w:szCs w:val="24"/>
        </w:rPr>
        <w:t>)</w:t>
      </w:r>
    </w:p>
    <w:p w14:paraId="58FFD7F0" w14:textId="77777777" w:rsidR="00667E2D" w:rsidRPr="008E2B49" w:rsidRDefault="00667E2D" w:rsidP="00667E2D">
      <w:pPr>
        <w:pStyle w:val="ListParagraph"/>
        <w:numPr>
          <w:ilvl w:val="0"/>
          <w:numId w:val="3"/>
        </w:numPr>
        <w:spacing w:after="0" w:line="240" w:lineRule="auto"/>
        <w:rPr>
          <w:rFonts w:cstheme="minorHAnsi"/>
          <w:szCs w:val="24"/>
        </w:rPr>
      </w:pPr>
      <w:proofErr w:type="spellStart"/>
      <w:r w:rsidRPr="008E2B49">
        <w:rPr>
          <w:rFonts w:cstheme="minorHAnsi"/>
          <w:i/>
          <w:iCs/>
          <w:szCs w:val="24"/>
        </w:rPr>
        <w:t>V</w:t>
      </w:r>
      <w:r w:rsidRPr="008E2B49">
        <w:rPr>
          <w:rFonts w:cstheme="minorHAnsi"/>
          <w:i/>
          <w:iCs/>
          <w:szCs w:val="24"/>
          <w:vertAlign w:val="subscript"/>
        </w:rPr>
        <w:t>mol</w:t>
      </w:r>
      <w:proofErr w:type="spellEnd"/>
      <w:r w:rsidRPr="008E2B49">
        <w:rPr>
          <w:rFonts w:cstheme="minorHAnsi"/>
          <w:szCs w:val="24"/>
        </w:rPr>
        <w:t>: Volume of a mol of gas at a given temperature (m</w:t>
      </w:r>
      <w:r w:rsidRPr="008E2B49">
        <w:rPr>
          <w:rFonts w:cstheme="minorHAnsi"/>
          <w:szCs w:val="24"/>
          <w:vertAlign w:val="superscript"/>
        </w:rPr>
        <w:t>3</w:t>
      </w:r>
      <w:r w:rsidRPr="008E2B49">
        <w:rPr>
          <w:rFonts w:cstheme="minorHAnsi"/>
          <w:szCs w:val="24"/>
        </w:rPr>
        <w:t xml:space="preserve"> mol</w:t>
      </w:r>
      <w:r w:rsidRPr="008E2B49">
        <w:rPr>
          <w:rFonts w:cstheme="minorHAnsi"/>
          <w:szCs w:val="24"/>
          <w:vertAlign w:val="superscript"/>
        </w:rPr>
        <w:t>-1</w:t>
      </w:r>
      <w:r w:rsidRPr="008E2B49">
        <w:rPr>
          <w:rFonts w:cstheme="minorHAnsi"/>
          <w:szCs w:val="24"/>
        </w:rPr>
        <w:t>)</w:t>
      </w:r>
    </w:p>
    <w:p w14:paraId="6A0BE4AF" w14:textId="77777777" w:rsidR="00667E2D" w:rsidRPr="008E2B49" w:rsidRDefault="00667E2D" w:rsidP="00667E2D">
      <w:pPr>
        <w:spacing w:after="0" w:line="240" w:lineRule="auto"/>
        <w:contextualSpacing/>
        <w:rPr>
          <w:rFonts w:cstheme="minorHAnsi"/>
          <w:szCs w:val="24"/>
        </w:rPr>
      </w:pPr>
    </w:p>
    <w:p w14:paraId="6550F25A" w14:textId="77777777" w:rsidR="00667E2D" w:rsidRPr="008E2B49" w:rsidRDefault="00667E2D" w:rsidP="00667E2D">
      <w:pPr>
        <w:spacing w:after="0" w:line="240" w:lineRule="auto"/>
        <w:contextualSpacing/>
        <w:rPr>
          <w:rFonts w:cstheme="minorHAnsi"/>
          <w:szCs w:val="24"/>
        </w:rPr>
      </w:pPr>
      <w:r w:rsidRPr="008E2B49">
        <w:rPr>
          <w:rFonts w:cstheme="minorHAnsi"/>
          <w:szCs w:val="24"/>
        </w:rPr>
        <w:t xml:space="preserve">where </w:t>
      </w:r>
      <w:proofErr w:type="spellStart"/>
      <w:r w:rsidRPr="008E2B49">
        <w:rPr>
          <w:rFonts w:cstheme="minorHAnsi"/>
          <w:i/>
          <w:iCs/>
          <w:szCs w:val="24"/>
        </w:rPr>
        <w:t>V</w:t>
      </w:r>
      <w:r w:rsidRPr="008E2B49">
        <w:rPr>
          <w:rFonts w:cstheme="minorHAnsi"/>
          <w:i/>
          <w:iCs/>
          <w:szCs w:val="24"/>
          <w:vertAlign w:val="subscript"/>
        </w:rPr>
        <w:t>mol</w:t>
      </w:r>
      <w:proofErr w:type="spellEnd"/>
      <w:r w:rsidRPr="008E2B49">
        <w:rPr>
          <w:rFonts w:cstheme="minorHAnsi"/>
          <w:szCs w:val="24"/>
        </w:rPr>
        <w:t xml:space="preserve"> is given by:</w:t>
      </w:r>
    </w:p>
    <w:p w14:paraId="6D6E4C4C" w14:textId="77777777" w:rsidR="00667E2D" w:rsidRPr="008E2B49" w:rsidRDefault="00667E2D" w:rsidP="00667E2D">
      <w:pPr>
        <w:spacing w:after="0" w:line="240" w:lineRule="auto"/>
        <w:contextualSpacing/>
        <w:rPr>
          <w:rFonts w:cstheme="minorHAnsi"/>
          <w:szCs w:val="24"/>
        </w:rPr>
      </w:pPr>
    </w:p>
    <w:p w14:paraId="3B71E523" w14:textId="77777777" w:rsidR="00667E2D" w:rsidRPr="008E2B49" w:rsidRDefault="00000000" w:rsidP="00667E2D">
      <w:pPr>
        <w:spacing w:after="0" w:line="240" w:lineRule="auto"/>
        <w:rPr>
          <w:rFonts w:eastAsiaTheme="minorEastAsia" w:cstheme="minorHAnsi"/>
          <w:szCs w:val="24"/>
        </w:rPr>
      </w:pPr>
      <m:oMath>
        <m:sSub>
          <m:sSubPr>
            <m:ctrlPr>
              <w:rPr>
                <w:rFonts w:ascii="Cambria Math" w:hAnsi="Cambria Math" w:cstheme="minorHAnsi"/>
                <w:i/>
                <w:szCs w:val="24"/>
              </w:rPr>
            </m:ctrlPr>
          </m:sSubPr>
          <m:e>
            <m:r>
              <w:rPr>
                <w:rFonts w:ascii="Cambria Math" w:hAnsi="Cambria Math" w:cstheme="minorHAnsi"/>
                <w:szCs w:val="24"/>
              </w:rPr>
              <m:t>V</m:t>
            </m:r>
          </m:e>
          <m:sub>
            <m:r>
              <w:rPr>
                <w:rFonts w:ascii="Cambria Math" w:hAnsi="Cambria Math" w:cstheme="minorHAnsi"/>
                <w:szCs w:val="24"/>
              </w:rPr>
              <m:t>mol</m:t>
            </m:r>
          </m:sub>
        </m:sSub>
        <m:r>
          <w:rPr>
            <w:rFonts w:ascii="Cambria Math" w:hAnsi="Cambria Math" w:cstheme="minorHAnsi"/>
            <w:szCs w:val="24"/>
          </w:rPr>
          <m:t>=p×(R×K)</m:t>
        </m:r>
      </m:oMath>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b/>
          <w:bCs/>
          <w:szCs w:val="24"/>
        </w:rPr>
        <w:t>Equation [2]</w:t>
      </w:r>
    </w:p>
    <w:p w14:paraId="1B704E5A"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p</w:t>
      </w:r>
      <w:r w:rsidRPr="008E2B49">
        <w:rPr>
          <w:rFonts w:cstheme="minorHAnsi"/>
          <w:szCs w:val="24"/>
        </w:rPr>
        <w:t>: Pressure (kPa)</w:t>
      </w:r>
    </w:p>
    <w:p w14:paraId="3E7A95FB"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R</w:t>
      </w:r>
      <w:r w:rsidRPr="008E2B49">
        <w:rPr>
          <w:rFonts w:cstheme="minorHAnsi"/>
          <w:szCs w:val="24"/>
        </w:rPr>
        <w:t>: Equal to ideal gas constant (8.314)</w:t>
      </w:r>
    </w:p>
    <w:p w14:paraId="7FD89C5D"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K</w:t>
      </w:r>
      <w:r w:rsidRPr="008E2B49">
        <w:rPr>
          <w:rFonts w:cstheme="minorHAnsi"/>
          <w:szCs w:val="24"/>
        </w:rPr>
        <w:t>: Temperature (Kelvin)</w:t>
      </w:r>
    </w:p>
    <w:p w14:paraId="33F3A85A" w14:textId="77777777" w:rsidR="00667E2D" w:rsidRPr="008E2B49" w:rsidRDefault="00667E2D" w:rsidP="00667E2D">
      <w:pPr>
        <w:spacing w:after="0" w:line="240" w:lineRule="auto"/>
        <w:rPr>
          <w:rFonts w:cstheme="minorHAnsi"/>
          <w:szCs w:val="24"/>
        </w:rPr>
      </w:pPr>
    </w:p>
    <w:p w14:paraId="258E553F" w14:textId="77777777" w:rsidR="00667E2D" w:rsidRPr="008E2B49" w:rsidRDefault="00667E2D" w:rsidP="00667E2D">
      <w:pPr>
        <w:spacing w:after="0" w:line="240" w:lineRule="auto"/>
        <w:rPr>
          <w:rFonts w:cstheme="minorHAnsi"/>
          <w:szCs w:val="24"/>
        </w:rPr>
      </w:pPr>
      <w:r w:rsidRPr="008E2B49">
        <w:rPr>
          <w:rFonts w:cstheme="minorHAnsi"/>
          <w:szCs w:val="24"/>
        </w:rPr>
        <w:t>where Total N</w:t>
      </w:r>
      <w:r w:rsidRPr="008E2B49">
        <w:rPr>
          <w:rFonts w:cstheme="minorHAnsi"/>
          <w:szCs w:val="24"/>
          <w:vertAlign w:val="subscript"/>
        </w:rPr>
        <w:t>2</w:t>
      </w:r>
      <w:r w:rsidRPr="008E2B49">
        <w:rPr>
          <w:rFonts w:cstheme="minorHAnsi"/>
          <w:szCs w:val="24"/>
        </w:rPr>
        <w:t>O produced (</w:t>
      </w:r>
      <w:r w:rsidRPr="008E2B49">
        <w:rPr>
          <w:rFonts w:cstheme="minorHAnsi"/>
          <w:i/>
          <w:iCs/>
          <w:szCs w:val="24"/>
        </w:rPr>
        <w:t>TNP</w:t>
      </w:r>
      <w:r w:rsidRPr="008E2B49">
        <w:rPr>
          <w:rFonts w:cstheme="minorHAnsi"/>
          <w:szCs w:val="24"/>
        </w:rPr>
        <w:t>) is given by:</w:t>
      </w:r>
    </w:p>
    <w:p w14:paraId="60690F7A" w14:textId="77777777" w:rsidR="00667E2D" w:rsidRPr="008E2B49" w:rsidRDefault="00667E2D" w:rsidP="00667E2D">
      <w:pPr>
        <w:spacing w:after="0" w:line="240" w:lineRule="auto"/>
        <w:rPr>
          <w:rFonts w:cstheme="minorHAnsi"/>
          <w:szCs w:val="24"/>
        </w:rPr>
      </w:pPr>
    </w:p>
    <w:p w14:paraId="3983A100" w14:textId="77777777" w:rsidR="00667E2D" w:rsidRPr="008E2B49" w:rsidRDefault="00667E2D" w:rsidP="00667E2D">
      <w:pPr>
        <w:spacing w:after="0" w:line="240" w:lineRule="auto"/>
        <w:rPr>
          <w:rFonts w:eastAsiaTheme="minorEastAsia" w:cstheme="minorHAnsi"/>
          <w:b/>
          <w:bCs/>
          <w:szCs w:val="24"/>
        </w:rPr>
      </w:pPr>
      <m:oMath>
        <m:r>
          <w:rPr>
            <w:rFonts w:ascii="Cambria Math" w:hAnsi="Cambria Math" w:cstheme="minorHAnsi"/>
            <w:szCs w:val="24"/>
          </w:rPr>
          <m:t>TNP=(Ksp×m×W:Hs)+m</m:t>
        </m:r>
      </m:oMath>
      <w:r w:rsidRPr="008E2B49">
        <w:rPr>
          <w:rFonts w:eastAsiaTheme="minorEastAsia" w:cstheme="minorHAnsi"/>
          <w:szCs w:val="24"/>
        </w:rPr>
        <w:t xml:space="preserve"> </w:t>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[3]</w:t>
      </w:r>
    </w:p>
    <w:p w14:paraId="09C44323" w14:textId="77777777" w:rsidR="00667E2D" w:rsidRPr="008E2B49" w:rsidRDefault="00667E2D" w:rsidP="00667E2D">
      <w:pPr>
        <w:spacing w:after="0" w:line="240" w:lineRule="auto"/>
        <w:rPr>
          <w:rFonts w:eastAsiaTheme="minorEastAsia" w:cstheme="minorHAnsi"/>
          <w:szCs w:val="24"/>
        </w:rPr>
      </w:pPr>
    </w:p>
    <w:p w14:paraId="495049CA" w14:textId="77777777" w:rsidR="00667E2D" w:rsidRPr="008E2B49" w:rsidRDefault="00667E2D" w:rsidP="00667E2D">
      <w:pPr>
        <w:pStyle w:val="ListParagraph"/>
        <w:numPr>
          <w:ilvl w:val="0"/>
          <w:numId w:val="2"/>
        </w:numPr>
        <w:spacing w:after="0" w:line="240" w:lineRule="auto"/>
        <w:rPr>
          <w:rFonts w:cstheme="minorHAnsi"/>
          <w:szCs w:val="24"/>
        </w:rPr>
      </w:pPr>
      <w:proofErr w:type="spellStart"/>
      <w:r w:rsidRPr="008E2B49">
        <w:rPr>
          <w:rFonts w:cstheme="minorHAnsi"/>
          <w:i/>
          <w:iCs/>
          <w:szCs w:val="24"/>
        </w:rPr>
        <w:t>Ksp</w:t>
      </w:r>
      <w:proofErr w:type="spellEnd"/>
      <w:r w:rsidRPr="008E2B49">
        <w:rPr>
          <w:rFonts w:cstheme="minorHAnsi"/>
          <w:szCs w:val="24"/>
        </w:rPr>
        <w:t>: N</w:t>
      </w:r>
      <w:r w:rsidRPr="008E2B49">
        <w:rPr>
          <w:rFonts w:cstheme="minorHAnsi"/>
          <w:szCs w:val="24"/>
          <w:vertAlign w:val="subscript"/>
        </w:rPr>
        <w:t>2</w:t>
      </w:r>
      <w:r w:rsidRPr="008E2B49">
        <w:rPr>
          <w:rFonts w:cstheme="minorHAnsi"/>
          <w:szCs w:val="24"/>
        </w:rPr>
        <w:t>O solubility</w:t>
      </w:r>
    </w:p>
    <w:p w14:paraId="282BAD71" w14:textId="77777777" w:rsidR="00667E2D" w:rsidRPr="008E2B49" w:rsidRDefault="00667E2D" w:rsidP="00667E2D">
      <w:pPr>
        <w:pStyle w:val="ListParagraph"/>
        <w:numPr>
          <w:ilvl w:val="0"/>
          <w:numId w:val="2"/>
        </w:numPr>
        <w:spacing w:after="0" w:line="240" w:lineRule="auto"/>
        <w:rPr>
          <w:rFonts w:cstheme="minorHAnsi"/>
          <w:szCs w:val="24"/>
        </w:rPr>
      </w:pPr>
      <w:r w:rsidRPr="008E2B49">
        <w:rPr>
          <w:rFonts w:cstheme="minorHAnsi"/>
          <w:i/>
          <w:iCs/>
          <w:szCs w:val="24"/>
        </w:rPr>
        <w:t>m</w:t>
      </w:r>
      <w:r w:rsidRPr="008E2B49">
        <w:rPr>
          <w:rFonts w:cstheme="minorHAnsi"/>
          <w:szCs w:val="24"/>
        </w:rPr>
        <w:t>: Mass of N</w:t>
      </w:r>
      <w:r w:rsidRPr="008E2B49">
        <w:rPr>
          <w:rFonts w:cstheme="minorHAnsi"/>
          <w:szCs w:val="24"/>
          <w:vertAlign w:val="subscript"/>
        </w:rPr>
        <w:t>2</w:t>
      </w:r>
      <w:r w:rsidRPr="008E2B49">
        <w:rPr>
          <w:rFonts w:cstheme="minorHAnsi"/>
          <w:szCs w:val="24"/>
        </w:rPr>
        <w:t>O in headspace (mg)</w:t>
      </w:r>
    </w:p>
    <w:p w14:paraId="2EA98079" w14:textId="77777777" w:rsidR="00667E2D" w:rsidRPr="008E2B49" w:rsidRDefault="00667E2D" w:rsidP="00667E2D">
      <w:pPr>
        <w:pStyle w:val="ListParagraph"/>
        <w:numPr>
          <w:ilvl w:val="0"/>
          <w:numId w:val="2"/>
        </w:numPr>
        <w:spacing w:after="0" w:line="240" w:lineRule="auto"/>
      </w:pPr>
      <w:proofErr w:type="gramStart"/>
      <w:r w:rsidRPr="2E1D4BE3">
        <w:rPr>
          <w:i/>
        </w:rPr>
        <w:t>W:Hs</w:t>
      </w:r>
      <w:proofErr w:type="gramEnd"/>
      <w:r w:rsidRPr="2E1D4BE3">
        <w:t>: Ratio of water to headspace</w:t>
      </w:r>
    </w:p>
    <w:p w14:paraId="37B2732E" w14:textId="77777777" w:rsidR="00667E2D" w:rsidRPr="008E2B49" w:rsidRDefault="00667E2D" w:rsidP="00667E2D">
      <w:pPr>
        <w:pStyle w:val="ListParagraph"/>
        <w:spacing w:after="0" w:line="240" w:lineRule="auto"/>
        <w:rPr>
          <w:rFonts w:cstheme="minorHAnsi"/>
          <w:szCs w:val="24"/>
        </w:rPr>
      </w:pPr>
    </w:p>
    <w:p w14:paraId="53F981A7" w14:textId="77777777" w:rsidR="00667E2D" w:rsidRPr="008E2B49" w:rsidRDefault="00667E2D" w:rsidP="00667E2D">
      <w:pPr>
        <w:spacing w:after="0" w:line="240" w:lineRule="auto"/>
        <w:rPr>
          <w:rFonts w:cstheme="minorHAnsi"/>
          <w:szCs w:val="24"/>
        </w:rPr>
      </w:pPr>
      <w:r w:rsidRPr="008E2B49">
        <w:rPr>
          <w:rFonts w:cstheme="minorHAnsi"/>
          <w:szCs w:val="24"/>
        </w:rPr>
        <w:t>and, where mass of N</w:t>
      </w:r>
      <w:r w:rsidRPr="008E2B49">
        <w:rPr>
          <w:rFonts w:cstheme="minorHAnsi"/>
          <w:szCs w:val="24"/>
          <w:vertAlign w:val="subscript"/>
        </w:rPr>
        <w:t>2</w:t>
      </w:r>
      <w:r w:rsidRPr="008E2B49">
        <w:rPr>
          <w:rFonts w:cstheme="minorHAnsi"/>
          <w:szCs w:val="24"/>
        </w:rPr>
        <w:t>O in headspace (</w:t>
      </w:r>
      <w:r w:rsidRPr="008E2B49">
        <w:rPr>
          <w:rFonts w:cstheme="minorHAnsi"/>
          <w:i/>
          <w:iCs/>
          <w:szCs w:val="24"/>
        </w:rPr>
        <w:t>m</w:t>
      </w:r>
      <w:r w:rsidRPr="008E2B49">
        <w:rPr>
          <w:rFonts w:cstheme="minorHAnsi"/>
          <w:szCs w:val="24"/>
        </w:rPr>
        <w:t>) is given by:</w:t>
      </w:r>
    </w:p>
    <w:p w14:paraId="25EFCA9F" w14:textId="77777777" w:rsidR="00667E2D" w:rsidRPr="008E2B49" w:rsidRDefault="00667E2D" w:rsidP="00667E2D">
      <w:pPr>
        <w:spacing w:after="0" w:line="240" w:lineRule="auto"/>
        <w:rPr>
          <w:rFonts w:cstheme="minorHAnsi"/>
          <w:szCs w:val="24"/>
        </w:rPr>
      </w:pPr>
    </w:p>
    <w:p w14:paraId="7B3CFF43" w14:textId="77777777" w:rsidR="00667E2D" w:rsidRPr="008E2B49" w:rsidRDefault="00667E2D" w:rsidP="00667E2D">
      <w:pPr>
        <w:spacing w:after="0" w:line="240" w:lineRule="auto"/>
        <w:rPr>
          <w:rFonts w:eastAsiaTheme="minorEastAsia" w:cstheme="minorHAnsi"/>
          <w:b/>
          <w:bCs/>
          <w:szCs w:val="24"/>
        </w:rPr>
      </w:pPr>
      <m:oMath>
        <m:r>
          <w:rPr>
            <w:rFonts w:ascii="Cambria Math" w:hAnsi="Cambria Math" w:cstheme="minorHAnsi"/>
            <w:szCs w:val="24"/>
          </w:rPr>
          <m:t>m=Hs×</m:t>
        </m:r>
        <m:sSub>
          <m:sSubPr>
            <m:ctrlPr>
              <w:rPr>
                <w:rFonts w:ascii="Cambria Math" w:hAnsi="Cambria Math" w:cstheme="minorHAnsi"/>
                <w:i/>
                <w:szCs w:val="24"/>
              </w:rPr>
            </m:ctrlPr>
          </m:sSubPr>
          <m:e>
            <m:r>
              <w:rPr>
                <w:rFonts w:ascii="Cambria Math" w:hAnsi="Cambria Math" w:cstheme="minorHAnsi"/>
                <w:szCs w:val="24"/>
              </w:rPr>
              <m:t>N</m:t>
            </m:r>
          </m:e>
          <m:sub>
            <m:r>
              <w:rPr>
                <w:rFonts w:ascii="Cambria Math" w:hAnsi="Cambria Math" w:cstheme="minorHAnsi"/>
                <w:szCs w:val="24"/>
              </w:rPr>
              <m:t>A</m:t>
            </m:r>
          </m:sub>
        </m:sSub>
        <m:r>
          <w:rPr>
            <w:rFonts w:ascii="Cambria Math" w:hAnsi="Cambria Math" w:cstheme="minorHAnsi"/>
            <w:szCs w:val="24"/>
          </w:rPr>
          <m:t>×(AδC-CδC)</m:t>
        </m:r>
      </m:oMath>
      <w:r w:rsidRPr="008E2B49">
        <w:rPr>
          <w:rFonts w:eastAsiaTheme="minorEastAsia" w:cstheme="minorHAnsi"/>
          <w:szCs w:val="24"/>
        </w:rPr>
        <w:t xml:space="preserve"> </w:t>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[4]</w:t>
      </w:r>
    </w:p>
    <w:p w14:paraId="6E19B4CF" w14:textId="77777777" w:rsidR="00667E2D" w:rsidRPr="008E2B49" w:rsidRDefault="00667E2D" w:rsidP="00667E2D">
      <w:pPr>
        <w:spacing w:after="0" w:line="240" w:lineRule="auto"/>
        <w:rPr>
          <w:rFonts w:cstheme="minorHAnsi"/>
          <w:szCs w:val="24"/>
        </w:rPr>
      </w:pPr>
    </w:p>
    <w:p w14:paraId="6B3A529F"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m</w:t>
      </w:r>
      <w:r w:rsidRPr="008E2B49">
        <w:rPr>
          <w:rFonts w:cstheme="minorHAnsi"/>
          <w:szCs w:val="24"/>
        </w:rPr>
        <w:t>: Mass of N</w:t>
      </w:r>
      <w:r w:rsidRPr="008E2B49">
        <w:rPr>
          <w:rFonts w:cstheme="minorHAnsi"/>
          <w:szCs w:val="24"/>
          <w:vertAlign w:val="subscript"/>
        </w:rPr>
        <w:t>2</w:t>
      </w:r>
      <w:r w:rsidRPr="008E2B49">
        <w:rPr>
          <w:rFonts w:cstheme="minorHAnsi"/>
          <w:szCs w:val="24"/>
        </w:rPr>
        <w:t>O in headspace (mg)</w:t>
      </w:r>
    </w:p>
    <w:p w14:paraId="37808D7B"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Hs</w:t>
      </w:r>
      <w:r w:rsidRPr="008E2B49">
        <w:rPr>
          <w:rFonts w:cstheme="minorHAnsi"/>
          <w:szCs w:val="24"/>
        </w:rPr>
        <w:t>: Headspace volume (ml)</w:t>
      </w:r>
    </w:p>
    <w:p w14:paraId="59C07AED"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N</w:t>
      </w:r>
      <w:r w:rsidRPr="008E2B49">
        <w:rPr>
          <w:rFonts w:cstheme="minorHAnsi"/>
          <w:i/>
          <w:iCs/>
          <w:szCs w:val="24"/>
          <w:vertAlign w:val="subscript"/>
        </w:rPr>
        <w:t>A</w:t>
      </w:r>
      <w:r w:rsidRPr="008E2B49">
        <w:rPr>
          <w:rFonts w:cstheme="minorHAnsi"/>
          <w:i/>
          <w:iCs/>
          <w:szCs w:val="24"/>
        </w:rPr>
        <w:t xml:space="preserve">: </w:t>
      </w:r>
      <w:r w:rsidRPr="008E2B49">
        <w:rPr>
          <w:rFonts w:cstheme="minorHAnsi"/>
          <w:szCs w:val="24"/>
        </w:rPr>
        <w:t>Avogadro constant (6.022×10²³ mol</w:t>
      </w:r>
      <w:r w:rsidRPr="008E2B49">
        <w:rPr>
          <w:rFonts w:ascii="Cambria Math" w:hAnsi="Cambria Math" w:cs="Cambria Math"/>
          <w:szCs w:val="24"/>
        </w:rPr>
        <w:t>⁻</w:t>
      </w:r>
      <w:r w:rsidRPr="008E2B49">
        <w:rPr>
          <w:rFonts w:cstheme="minorHAnsi"/>
          <w:szCs w:val="24"/>
        </w:rPr>
        <w:t>¹)</w:t>
      </w:r>
    </w:p>
    <w:p w14:paraId="4838CEBB"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proofErr w:type="spellStart"/>
      <w:r w:rsidRPr="008E2B49">
        <w:rPr>
          <w:rFonts w:cstheme="minorHAnsi"/>
          <w:i/>
          <w:iCs/>
          <w:szCs w:val="24"/>
        </w:rPr>
        <w:t>A</w:t>
      </w:r>
      <w:r w:rsidRPr="008E2B49">
        <w:rPr>
          <w:rFonts w:eastAsia="DengXian" w:cstheme="minorHAnsi"/>
          <w:i/>
          <w:iCs/>
          <w:szCs w:val="24"/>
        </w:rPr>
        <w:t>δC</w:t>
      </w:r>
      <w:proofErr w:type="spellEnd"/>
      <w:r w:rsidRPr="008E2B49">
        <w:rPr>
          <w:rFonts w:eastAsia="DengXian" w:cstheme="minorHAnsi"/>
          <w:szCs w:val="24"/>
        </w:rPr>
        <w:t>: Change in the gas concentration in acetylene samples: T0-T24</w:t>
      </w:r>
    </w:p>
    <w:p w14:paraId="465FC6B5"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proofErr w:type="spellStart"/>
      <w:r w:rsidRPr="008E2B49">
        <w:rPr>
          <w:rFonts w:cstheme="minorHAnsi"/>
          <w:i/>
          <w:iCs/>
          <w:szCs w:val="24"/>
        </w:rPr>
        <w:t>CδC</w:t>
      </w:r>
      <w:proofErr w:type="spellEnd"/>
      <w:r w:rsidRPr="008E2B49">
        <w:rPr>
          <w:rFonts w:cstheme="minorHAnsi"/>
          <w:szCs w:val="24"/>
        </w:rPr>
        <w:t>: Change in the gas concentration in control samples: T0-T24</w:t>
      </w:r>
    </w:p>
    <w:p w14:paraId="6356E15F" w14:textId="77777777" w:rsidR="00667E2D" w:rsidRPr="008E2B49" w:rsidRDefault="00667E2D" w:rsidP="00667E2D">
      <w:pPr>
        <w:spacing w:after="0" w:line="240" w:lineRule="auto"/>
      </w:pPr>
    </w:p>
    <w:bookmarkEnd w:id="23"/>
    <w:p w14:paraId="7F9F464A" w14:textId="77777777" w:rsidR="00667E2D" w:rsidRPr="00600142" w:rsidRDefault="00667E2D" w:rsidP="00667E2D">
      <w:pPr>
        <w:spacing w:after="0" w:line="240" w:lineRule="auto"/>
        <w:rPr>
          <w:color w:val="FF0000"/>
        </w:rPr>
      </w:pPr>
    </w:p>
    <w:p w14:paraId="73FF4328" w14:textId="2284E63E" w:rsidR="00667E2D" w:rsidRDefault="00667E2D" w:rsidP="00667E2D">
      <w:pPr>
        <w:pStyle w:val="Heading3"/>
      </w:pPr>
      <w:bookmarkStart w:id="24" w:name="_Toc204240468"/>
      <w:bookmarkStart w:id="25" w:name="_Toc213934206"/>
      <w:r>
        <w:t>Porewater and Seawater Samples</w:t>
      </w:r>
      <w:bookmarkEnd w:id="24"/>
      <w:bookmarkEnd w:id="25"/>
    </w:p>
    <w:p w14:paraId="22C05476" w14:textId="77777777" w:rsidR="00667E2D" w:rsidRPr="00522CCE" w:rsidRDefault="00667E2D" w:rsidP="00667E2D">
      <w:pPr>
        <w:spacing w:after="0" w:line="240" w:lineRule="auto"/>
        <w:rPr>
          <w:rFonts w:cstheme="minorHAnsi"/>
          <w:szCs w:val="24"/>
        </w:rPr>
      </w:pPr>
      <w:bookmarkStart w:id="26" w:name="_Hlk193716969"/>
      <w:r w:rsidRPr="00522CCE">
        <w:rPr>
          <w:rFonts w:cstheme="minorHAnsi"/>
          <w:szCs w:val="24"/>
        </w:rPr>
        <w:t>Seawater and porewater samples were analysed using colorimetric based methods. Nitrate (NO</w:t>
      </w:r>
      <w:r w:rsidRPr="00522CCE">
        <w:rPr>
          <w:rFonts w:cstheme="minorHAnsi"/>
          <w:szCs w:val="24"/>
          <w:vertAlign w:val="subscript"/>
        </w:rPr>
        <w:t>3</w:t>
      </w:r>
      <w:r w:rsidRPr="00522CCE">
        <w:rPr>
          <w:rFonts w:cstheme="minorHAnsi"/>
          <w:szCs w:val="24"/>
          <w:vertAlign w:val="superscript"/>
        </w:rPr>
        <w:t>-</w:t>
      </w:r>
      <w:r w:rsidRPr="00522CCE">
        <w:rPr>
          <w:rFonts w:cstheme="minorHAnsi"/>
          <w:szCs w:val="24"/>
        </w:rPr>
        <w:t>) was measured using a Vanadium reduction followed by a Griess reaction. Ammonium (NH</w:t>
      </w:r>
      <w:r w:rsidRPr="00522CCE">
        <w:rPr>
          <w:rFonts w:cstheme="minorHAnsi"/>
          <w:szCs w:val="24"/>
          <w:vertAlign w:val="subscript"/>
        </w:rPr>
        <w:t>4</w:t>
      </w:r>
      <w:r w:rsidRPr="00522CCE">
        <w:rPr>
          <w:rFonts w:cstheme="minorHAnsi"/>
          <w:szCs w:val="24"/>
          <w:vertAlign w:val="superscript"/>
        </w:rPr>
        <w:t>+</w:t>
      </w:r>
      <w:r w:rsidRPr="00522CCE">
        <w:rPr>
          <w:rFonts w:cstheme="minorHAnsi"/>
          <w:szCs w:val="24"/>
        </w:rPr>
        <w:t>) was measured using a buffered indophenol method. Phosphate (PO</w:t>
      </w:r>
      <w:r w:rsidRPr="00522CCE">
        <w:rPr>
          <w:rFonts w:cstheme="minorHAnsi"/>
          <w:szCs w:val="24"/>
          <w:vertAlign w:val="subscript"/>
        </w:rPr>
        <w:t>4</w:t>
      </w:r>
      <w:r w:rsidRPr="00522CCE">
        <w:rPr>
          <w:rFonts w:cstheme="minorHAnsi"/>
          <w:szCs w:val="24"/>
          <w:vertAlign w:val="superscript"/>
        </w:rPr>
        <w:t>3-</w:t>
      </w:r>
      <w:r w:rsidRPr="00522CCE">
        <w:rPr>
          <w:rFonts w:cstheme="minorHAnsi"/>
          <w:szCs w:val="24"/>
        </w:rPr>
        <w:t xml:space="preserve">) was measured using the molybdenum blue method. </w:t>
      </w:r>
    </w:p>
    <w:p w14:paraId="47750151" w14:textId="77777777" w:rsidR="00667E2D" w:rsidRPr="00522CCE" w:rsidRDefault="00667E2D" w:rsidP="00667E2D">
      <w:pPr>
        <w:spacing w:after="0" w:line="240" w:lineRule="auto"/>
        <w:rPr>
          <w:rFonts w:cstheme="minorHAnsi"/>
          <w:szCs w:val="24"/>
        </w:rPr>
      </w:pPr>
    </w:p>
    <w:p w14:paraId="6EC06115" w14:textId="77777777" w:rsidR="00667E2D" w:rsidRDefault="00667E2D" w:rsidP="00667E2D">
      <w:pPr>
        <w:spacing w:after="0" w:line="240" w:lineRule="auto"/>
      </w:pPr>
      <w:r w:rsidRPr="00522CCE">
        <w:t>Other seawater ion concentrations (Cl</w:t>
      </w:r>
      <w:r w:rsidRPr="00522CCE">
        <w:rPr>
          <w:vertAlign w:val="superscript"/>
        </w:rPr>
        <w:t>-</w:t>
      </w:r>
      <w:r w:rsidRPr="00522CCE">
        <w:t>, Na</w:t>
      </w:r>
      <w:r w:rsidRPr="00522CCE">
        <w:rPr>
          <w:vertAlign w:val="superscript"/>
        </w:rPr>
        <w:t>2+</w:t>
      </w:r>
      <w:r w:rsidRPr="00522CCE">
        <w:t>, K</w:t>
      </w:r>
      <w:r w:rsidRPr="00522CCE">
        <w:rPr>
          <w:vertAlign w:val="superscript"/>
        </w:rPr>
        <w:t>+</w:t>
      </w:r>
      <w:r w:rsidRPr="00522CCE">
        <w:t>, Br</w:t>
      </w:r>
      <w:r w:rsidRPr="00522CCE">
        <w:rPr>
          <w:vertAlign w:val="superscript"/>
        </w:rPr>
        <w:t>-</w:t>
      </w:r>
      <w:r w:rsidRPr="00522CCE">
        <w:t>, Mg</w:t>
      </w:r>
      <w:r w:rsidRPr="00522CCE">
        <w:rPr>
          <w:vertAlign w:val="superscript"/>
        </w:rPr>
        <w:t>3+</w:t>
      </w:r>
      <w:r w:rsidRPr="00522CCE">
        <w:t xml:space="preserve"> and Ca</w:t>
      </w:r>
      <w:r w:rsidRPr="00522CCE">
        <w:rPr>
          <w:vertAlign w:val="superscript"/>
        </w:rPr>
        <w:t>2+</w:t>
      </w:r>
      <w:r w:rsidRPr="00522CCE">
        <w:t xml:space="preserve">) were measured using a </w:t>
      </w:r>
      <w:proofErr w:type="spellStart"/>
      <w:r w:rsidRPr="00522CCE">
        <w:t>Metrohm</w:t>
      </w:r>
      <w:proofErr w:type="spellEnd"/>
      <w:r w:rsidRPr="00522CCE">
        <w:t xml:space="preserve"> 850 Professional IC. For anions, 20 </w:t>
      </w:r>
      <w:proofErr w:type="spellStart"/>
      <w:r w:rsidRPr="00522CCE">
        <w:rPr>
          <w:rFonts w:cs="Arial"/>
        </w:rPr>
        <w:t>μ</w:t>
      </w:r>
      <w:r w:rsidRPr="00522CCE">
        <w:t>l</w:t>
      </w:r>
      <w:proofErr w:type="spellEnd"/>
      <w:r w:rsidRPr="00522CCE">
        <w:t xml:space="preserve"> of sample was injected onto a </w:t>
      </w:r>
      <w:proofErr w:type="spellStart"/>
      <w:r w:rsidRPr="00522CCE">
        <w:t>Metrosep</w:t>
      </w:r>
      <w:proofErr w:type="spellEnd"/>
      <w:r w:rsidRPr="00522CCE">
        <w:t xml:space="preserve"> </w:t>
      </w:r>
      <w:proofErr w:type="gramStart"/>
      <w:r w:rsidRPr="00522CCE">
        <w:t>A</w:t>
      </w:r>
      <w:proofErr w:type="gramEnd"/>
      <w:r w:rsidRPr="00522CCE">
        <w:t xml:space="preserve"> Supp 5 – 150/4.0 column using an 8mM Na</w:t>
      </w:r>
      <w:r w:rsidRPr="00522CCE">
        <w:rPr>
          <w:vertAlign w:val="subscript"/>
        </w:rPr>
        <w:t>2</w:t>
      </w:r>
      <w:r w:rsidRPr="00522CCE">
        <w:t>CO</w:t>
      </w:r>
      <w:r w:rsidRPr="00522CCE">
        <w:rPr>
          <w:vertAlign w:val="subscript"/>
        </w:rPr>
        <w:t>3</w:t>
      </w:r>
      <w:r w:rsidRPr="009B0191">
        <w:t>, 0.2mM NaHCO</w:t>
      </w:r>
      <w:r w:rsidRPr="00B63A41">
        <w:rPr>
          <w:vertAlign w:val="subscript"/>
        </w:rPr>
        <w:t>3</w:t>
      </w:r>
      <w:r w:rsidRPr="009B0191">
        <w:t xml:space="preserve"> eluent.</w:t>
      </w:r>
      <w:r>
        <w:t xml:space="preserve"> For cations, </w:t>
      </w:r>
      <w:r w:rsidRPr="009B0191">
        <w:t>20</w:t>
      </w:r>
      <w:r>
        <w:t xml:space="preserve"> </w:t>
      </w:r>
      <w:proofErr w:type="spellStart"/>
      <w:r>
        <w:rPr>
          <w:rFonts w:cs="Arial"/>
        </w:rPr>
        <w:t>μ</w:t>
      </w:r>
      <w:r w:rsidRPr="009B0191">
        <w:t>l</w:t>
      </w:r>
      <w:proofErr w:type="spellEnd"/>
      <w:r w:rsidRPr="009B0191">
        <w:t xml:space="preserve"> of sample was injected onto a </w:t>
      </w:r>
      <w:proofErr w:type="spellStart"/>
      <w:r w:rsidRPr="009B0191">
        <w:t>Metrosep</w:t>
      </w:r>
      <w:proofErr w:type="spellEnd"/>
      <w:r w:rsidRPr="009B0191">
        <w:t xml:space="preserve"> C 4 – 250/4.0 column using a 5mM HNO</w:t>
      </w:r>
      <w:r w:rsidRPr="00B63A41">
        <w:rPr>
          <w:vertAlign w:val="subscript"/>
        </w:rPr>
        <w:t>3</w:t>
      </w:r>
      <w:r w:rsidRPr="009B0191">
        <w:t>/1mM Oxalic acid eluent. Both columns were fitted with guard columns</w:t>
      </w:r>
      <w:r>
        <w:t xml:space="preserve"> (A Supp 19 guard 4.0 and C6 Guard 4.0). S</w:t>
      </w:r>
      <w:r w:rsidRPr="009B0191">
        <w:t>eawater samples were diluted x50 to ensure ion levels were within the top standards</w:t>
      </w:r>
      <w:r>
        <w:t xml:space="preserve">. </w:t>
      </w:r>
      <w:r w:rsidRPr="14692A7D">
        <w:t xml:space="preserve">Ion </w:t>
      </w:r>
      <w:r w:rsidRPr="0343B956">
        <w:t>concentrations</w:t>
      </w:r>
      <w:r w:rsidRPr="14692A7D">
        <w:t xml:space="preserve"> were then used to generate seawater composition for each WHS</w:t>
      </w:r>
      <w:r w:rsidRPr="53509773">
        <w:t xml:space="preserve"> run.</w:t>
      </w:r>
    </w:p>
    <w:p w14:paraId="6559489B" w14:textId="0A12988F" w:rsidR="00667E2D" w:rsidRPr="00921DFC" w:rsidRDefault="00FC52EF" w:rsidP="00667E2D">
      <w:pPr>
        <w:pStyle w:val="Heading3"/>
      </w:pPr>
      <w:bookmarkStart w:id="27" w:name="_Toc204240469"/>
      <w:bookmarkStart w:id="28" w:name="_Toc213934207"/>
      <w:bookmarkEnd w:id="26"/>
      <w:r>
        <w:t xml:space="preserve">Organic </w:t>
      </w:r>
      <w:r w:rsidR="00667E2D">
        <w:t>Matter</w:t>
      </w:r>
      <w:r>
        <w:t xml:space="preserve"> content and </w:t>
      </w:r>
      <w:r w:rsidR="00667E2D">
        <w:t>Bulk Density</w:t>
      </w:r>
      <w:bookmarkEnd w:id="27"/>
      <w:bookmarkEnd w:id="28"/>
    </w:p>
    <w:p w14:paraId="08A38141" w14:textId="77777777" w:rsidR="00667E2D" w:rsidRPr="004C2D93" w:rsidRDefault="00667E2D" w:rsidP="00667E2D">
      <w:pPr>
        <w:spacing w:before="100" w:beforeAutospacing="1" w:after="100" w:afterAutospacing="1" w:line="240" w:lineRule="auto"/>
        <w:rPr>
          <w:rFonts w:eastAsia="Times New Roman" w:cs="Arial"/>
          <w:szCs w:val="24"/>
          <w:lang w:eastAsia="en-GB"/>
        </w:rPr>
      </w:pPr>
      <w:bookmarkStart w:id="29" w:name="_Hlk193717204"/>
      <w:r w:rsidRPr="004C2D93">
        <w:rPr>
          <w:rFonts w:eastAsia="Times New Roman" w:cs="Arial"/>
          <w:szCs w:val="24"/>
          <w:lang w:eastAsia="en-GB"/>
        </w:rPr>
        <w:t>The Loss on Ignition (</w:t>
      </w:r>
      <w:proofErr w:type="spellStart"/>
      <w:r w:rsidRPr="004C2D93">
        <w:rPr>
          <w:rFonts w:eastAsia="Times New Roman" w:cs="Arial"/>
          <w:szCs w:val="24"/>
          <w:lang w:eastAsia="en-GB"/>
        </w:rPr>
        <w:t>LoI</w:t>
      </w:r>
      <w:proofErr w:type="spellEnd"/>
      <w:r w:rsidRPr="004C2D93">
        <w:rPr>
          <w:rFonts w:eastAsia="Times New Roman" w:cs="Arial"/>
          <w:szCs w:val="24"/>
          <w:lang w:eastAsia="en-GB"/>
        </w:rPr>
        <w:t xml:space="preserve">) method was employed to determine the percentage of moisture and organic </w:t>
      </w:r>
      <w:r>
        <w:rPr>
          <w:rFonts w:eastAsia="Times New Roman" w:cs="Arial"/>
          <w:szCs w:val="24"/>
          <w:lang w:eastAsia="en-GB"/>
        </w:rPr>
        <w:t xml:space="preserve">matter </w:t>
      </w:r>
      <w:r w:rsidRPr="004C2D93">
        <w:rPr>
          <w:rFonts w:eastAsia="Times New Roman" w:cs="Arial"/>
          <w:szCs w:val="24"/>
          <w:lang w:eastAsia="en-GB"/>
        </w:rPr>
        <w:t>content in</w:t>
      </w:r>
      <w:r>
        <w:rPr>
          <w:rFonts w:eastAsia="Times New Roman" w:cs="Arial"/>
          <w:szCs w:val="24"/>
          <w:lang w:eastAsia="en-GB"/>
        </w:rPr>
        <w:t xml:space="preserve"> the sediment from the different coastal habitats</w:t>
      </w:r>
      <w:r w:rsidRPr="004C2D93">
        <w:rPr>
          <w:rFonts w:eastAsia="Times New Roman" w:cs="Arial"/>
          <w:szCs w:val="24"/>
          <w:lang w:eastAsia="en-GB"/>
        </w:rPr>
        <w:t>. Cleaned and labelled crucibles were weighed to four decimal places before being filled with homogenized sediment. The samples were dried in an oven at 105°C for 24 hours to remove water content (or until a constant weight was achieved), then cooled in a desiccator and reweighed to determine moisture loss. The dried samples were subsequently combusted in a muffle furnace at 550°C for 200 minutes to remove organic material (following initial trials to establish necessary timing). After cooling, the crucibles were reweighed to measure the mass of the remaining inorganic fraction. Moisture and organic content percentages were calculated using the following formulas:</w:t>
      </w:r>
    </w:p>
    <w:p w14:paraId="03A254B0" w14:textId="77777777" w:rsidR="00667E2D" w:rsidRPr="004C2D93" w:rsidRDefault="00667E2D" w:rsidP="00667E2D">
      <w:pPr>
        <w:spacing w:before="100" w:beforeAutospacing="1" w:after="100" w:afterAutospacing="1" w:line="240" w:lineRule="auto"/>
        <w:rPr>
          <w:rFonts w:ascii="Times New Roman" w:eastAsia="Times New Roman" w:hAnsi="Times New Roman"/>
          <w:szCs w:val="24"/>
          <w:lang w:eastAsia="en-GB"/>
        </w:rPr>
      </w:pPr>
      <w:r w:rsidRPr="004C2D93">
        <w:rPr>
          <w:noProof/>
          <w:szCs w:val="24"/>
        </w:rPr>
        <w:drawing>
          <wp:inline distT="0" distB="0" distL="0" distR="0" wp14:anchorId="32A3BFF6" wp14:editId="600372DB">
            <wp:extent cx="6115685" cy="864235"/>
            <wp:effectExtent l="0" t="0" r="0" b="0"/>
            <wp:docPr id="569777467" name="Picture 1" descr="A close-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77467" name="Picture 1" descr="A close-up of text&#10;&#10;AI-generated content may be incorrect."/>
                    <pic:cNvPicPr/>
                  </pic:nvPicPr>
                  <pic:blipFill>
                    <a:blip r:embed="rId9"/>
                    <a:stretch>
                      <a:fillRect/>
                    </a:stretch>
                  </pic:blipFill>
                  <pic:spPr>
                    <a:xfrm>
                      <a:off x="0" y="0"/>
                      <a:ext cx="6115685" cy="864235"/>
                    </a:xfrm>
                    <a:prstGeom prst="rect">
                      <a:avLst/>
                    </a:prstGeom>
                  </pic:spPr>
                </pic:pic>
              </a:graphicData>
            </a:graphic>
          </wp:inline>
        </w:drawing>
      </w:r>
    </w:p>
    <w:p w14:paraId="05978EA7" w14:textId="77777777" w:rsidR="00667E2D" w:rsidRPr="004C2D93" w:rsidRDefault="00667E2D" w:rsidP="00667E2D">
      <w:pPr>
        <w:spacing w:before="100" w:beforeAutospacing="1" w:after="100" w:afterAutospacing="1" w:line="240" w:lineRule="auto"/>
        <w:jc w:val="right"/>
        <w:rPr>
          <w:rFonts w:eastAsia="Times New Roman" w:cstheme="minorHAnsi"/>
          <w:b/>
          <w:bCs/>
          <w:szCs w:val="24"/>
          <w:lang w:eastAsia="en-GB"/>
        </w:rPr>
      </w:pPr>
      <w:r w:rsidRPr="004C2D93">
        <w:rPr>
          <w:rFonts w:eastAsia="Times New Roman" w:cstheme="minorHAnsi"/>
          <w:b/>
          <w:bCs/>
          <w:szCs w:val="24"/>
          <w:lang w:eastAsia="en-GB"/>
        </w:rPr>
        <w:t>Equations [5] and [6]</w:t>
      </w:r>
    </w:p>
    <w:p w14:paraId="488B4BE5" w14:textId="77777777" w:rsidR="00667E2D" w:rsidRDefault="00667E2D" w:rsidP="00667E2D">
      <w:pPr>
        <w:spacing w:after="0" w:line="240" w:lineRule="auto"/>
        <w:rPr>
          <w:rFonts w:eastAsia="Times New Roman" w:cs="Arial"/>
          <w:szCs w:val="24"/>
          <w:lang w:eastAsia="en-GB"/>
        </w:rPr>
      </w:pPr>
      <w:r w:rsidRPr="004C2D93">
        <w:rPr>
          <w:rFonts w:eastAsia="Times New Roman" w:cs="Arial"/>
          <w:szCs w:val="24"/>
          <w:lang w:eastAsia="en-GB"/>
        </w:rPr>
        <w:lastRenderedPageBreak/>
        <w:t xml:space="preserve">To determine soil bulk </w:t>
      </w:r>
      <w:r w:rsidRPr="004D1DA1">
        <w:rPr>
          <w:rFonts w:eastAsia="Times New Roman" w:cs="Arial"/>
          <w:szCs w:val="24"/>
          <w:lang w:eastAsia="en-GB"/>
        </w:rPr>
        <w:t>density</w:t>
      </w:r>
      <w:r w:rsidRPr="004C2D93">
        <w:rPr>
          <w:rFonts w:eastAsia="Times New Roman" w:cs="Arial"/>
          <w:szCs w:val="24"/>
          <w:lang w:eastAsia="en-GB"/>
        </w:rPr>
        <w:t>, a 1 cm-thick disk was extracted from a 10 cm depth of the Control core. The soil sample was placed into a pre-weighed foil dish and dried in an oven at 105 °C for 48 hours, or until a constant weight was achieved, to remove all moisture. After drying, the sample was weighed again. Bulk density (g/cm³) was calculated by dividing the oven-dry mass of the soil by the sample's volume, which was determined from the known dimensions of the core sampler.</w:t>
      </w:r>
      <w:r>
        <w:rPr>
          <w:rFonts w:eastAsia="Times New Roman" w:cs="Arial"/>
          <w:szCs w:val="24"/>
          <w:lang w:eastAsia="en-GB"/>
        </w:rPr>
        <w:t xml:space="preserve"> </w:t>
      </w:r>
      <w:bookmarkEnd w:id="29"/>
    </w:p>
    <w:p w14:paraId="2C6BB124" w14:textId="77777777" w:rsidR="0034657F" w:rsidRDefault="0034657F" w:rsidP="00667E2D">
      <w:pPr>
        <w:spacing w:after="0" w:line="240" w:lineRule="auto"/>
        <w:rPr>
          <w:rFonts w:eastAsia="Times New Roman" w:cs="Arial"/>
          <w:szCs w:val="24"/>
          <w:lang w:eastAsia="en-GB"/>
        </w:rPr>
      </w:pPr>
    </w:p>
    <w:p w14:paraId="5B829E35" w14:textId="77777777" w:rsidR="00790224" w:rsidRPr="0034657F" w:rsidRDefault="00790224" w:rsidP="0034657F">
      <w:pPr>
        <w:rPr>
          <w:lang w:eastAsia="en-GB"/>
        </w:rPr>
      </w:pPr>
    </w:p>
    <w:sectPr w:rsidR="00790224" w:rsidRPr="0034657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C8720" w14:textId="77777777" w:rsidR="00724C87" w:rsidRDefault="00724C87" w:rsidP="003B1B3B">
      <w:pPr>
        <w:spacing w:after="0" w:line="240" w:lineRule="auto"/>
      </w:pPr>
      <w:r>
        <w:separator/>
      </w:r>
    </w:p>
  </w:endnote>
  <w:endnote w:type="continuationSeparator" w:id="0">
    <w:p w14:paraId="55844837" w14:textId="77777777" w:rsidR="00724C87" w:rsidRDefault="00724C87" w:rsidP="003B1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038686"/>
      <w:docPartObj>
        <w:docPartGallery w:val="Page Numbers (Bottom of Page)"/>
        <w:docPartUnique/>
      </w:docPartObj>
    </w:sdtPr>
    <w:sdtContent>
      <w:p w14:paraId="26D9E526" w14:textId="7A275695" w:rsidR="003B1B3B" w:rsidRDefault="003B1B3B">
        <w:pPr>
          <w:pStyle w:val="Footer"/>
          <w:jc w:val="right"/>
        </w:pPr>
        <w:r>
          <w:fldChar w:fldCharType="begin"/>
        </w:r>
        <w:r>
          <w:instrText>PAGE   \* MERGEFORMAT</w:instrText>
        </w:r>
        <w:r>
          <w:fldChar w:fldCharType="separate"/>
        </w:r>
        <w:r>
          <w:t>2</w:t>
        </w:r>
        <w:r>
          <w:fldChar w:fldCharType="end"/>
        </w:r>
      </w:p>
    </w:sdtContent>
  </w:sdt>
  <w:p w14:paraId="241A1EB7" w14:textId="77777777" w:rsidR="003B1B3B" w:rsidRDefault="003B1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8D373" w14:textId="77777777" w:rsidR="00724C87" w:rsidRDefault="00724C87" w:rsidP="003B1B3B">
      <w:pPr>
        <w:spacing w:after="0" w:line="240" w:lineRule="auto"/>
      </w:pPr>
      <w:r>
        <w:separator/>
      </w:r>
    </w:p>
  </w:footnote>
  <w:footnote w:type="continuationSeparator" w:id="0">
    <w:p w14:paraId="0F416A93" w14:textId="77777777" w:rsidR="00724C87" w:rsidRDefault="00724C87" w:rsidP="003B1B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77991"/>
    <w:multiLevelType w:val="hybridMultilevel"/>
    <w:tmpl w:val="F3800EB8"/>
    <w:lvl w:ilvl="0" w:tplc="2392FD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AC24BE"/>
    <w:multiLevelType w:val="hybridMultilevel"/>
    <w:tmpl w:val="7C0C3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045273"/>
    <w:multiLevelType w:val="hybridMultilevel"/>
    <w:tmpl w:val="34DE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D2E2F5E"/>
    <w:multiLevelType w:val="hybridMultilevel"/>
    <w:tmpl w:val="AD2E6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0335989">
    <w:abstractNumId w:val="0"/>
  </w:num>
  <w:num w:numId="2" w16cid:durableId="797770363">
    <w:abstractNumId w:val="2"/>
  </w:num>
  <w:num w:numId="3" w16cid:durableId="1371219794">
    <w:abstractNumId w:val="3"/>
  </w:num>
  <w:num w:numId="4" w16cid:durableId="656223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144"/>
    <w:rsid w:val="000151AE"/>
    <w:rsid w:val="00045F29"/>
    <w:rsid w:val="000775E4"/>
    <w:rsid w:val="00084C85"/>
    <w:rsid w:val="000B0747"/>
    <w:rsid w:val="000B55AC"/>
    <w:rsid w:val="000D31C5"/>
    <w:rsid w:val="000E2A46"/>
    <w:rsid w:val="000F03A6"/>
    <w:rsid w:val="000F650D"/>
    <w:rsid w:val="00103AF4"/>
    <w:rsid w:val="00103D5F"/>
    <w:rsid w:val="00105AC7"/>
    <w:rsid w:val="00111F4B"/>
    <w:rsid w:val="00123824"/>
    <w:rsid w:val="00137879"/>
    <w:rsid w:val="001526CB"/>
    <w:rsid w:val="0015643A"/>
    <w:rsid w:val="00194E86"/>
    <w:rsid w:val="00195E18"/>
    <w:rsid w:val="001970BE"/>
    <w:rsid w:val="001B2021"/>
    <w:rsid w:val="001B68DE"/>
    <w:rsid w:val="001E5524"/>
    <w:rsid w:val="001E6370"/>
    <w:rsid w:val="00203A6C"/>
    <w:rsid w:val="00235004"/>
    <w:rsid w:val="00243521"/>
    <w:rsid w:val="00252A66"/>
    <w:rsid w:val="00262279"/>
    <w:rsid w:val="00286CC2"/>
    <w:rsid w:val="00290DD3"/>
    <w:rsid w:val="002A34A1"/>
    <w:rsid w:val="002A6B1A"/>
    <w:rsid w:val="002B345D"/>
    <w:rsid w:val="002B6F06"/>
    <w:rsid w:val="002C4291"/>
    <w:rsid w:val="002F5E38"/>
    <w:rsid w:val="00310CA4"/>
    <w:rsid w:val="00321157"/>
    <w:rsid w:val="00325F84"/>
    <w:rsid w:val="00337F8C"/>
    <w:rsid w:val="00341B7D"/>
    <w:rsid w:val="0034657F"/>
    <w:rsid w:val="00355649"/>
    <w:rsid w:val="00374E9D"/>
    <w:rsid w:val="00395EE2"/>
    <w:rsid w:val="003A1C08"/>
    <w:rsid w:val="003A6107"/>
    <w:rsid w:val="003B1B3B"/>
    <w:rsid w:val="003B2BF0"/>
    <w:rsid w:val="003B2CA9"/>
    <w:rsid w:val="003B2D55"/>
    <w:rsid w:val="003B3B8B"/>
    <w:rsid w:val="003C5BA3"/>
    <w:rsid w:val="003D1CE7"/>
    <w:rsid w:val="003E472E"/>
    <w:rsid w:val="003E4926"/>
    <w:rsid w:val="003E6A16"/>
    <w:rsid w:val="003E6D1E"/>
    <w:rsid w:val="003F3144"/>
    <w:rsid w:val="00406030"/>
    <w:rsid w:val="00415907"/>
    <w:rsid w:val="00424A56"/>
    <w:rsid w:val="0043045C"/>
    <w:rsid w:val="00435C02"/>
    <w:rsid w:val="00442252"/>
    <w:rsid w:val="00450320"/>
    <w:rsid w:val="00466419"/>
    <w:rsid w:val="004819A1"/>
    <w:rsid w:val="0048435C"/>
    <w:rsid w:val="004A3A95"/>
    <w:rsid w:val="004B3782"/>
    <w:rsid w:val="004B5574"/>
    <w:rsid w:val="004B5AF9"/>
    <w:rsid w:val="004C6F8D"/>
    <w:rsid w:val="004F2EB6"/>
    <w:rsid w:val="00517543"/>
    <w:rsid w:val="005235C0"/>
    <w:rsid w:val="0052388A"/>
    <w:rsid w:val="00532D60"/>
    <w:rsid w:val="00535F5D"/>
    <w:rsid w:val="005377F3"/>
    <w:rsid w:val="00544A30"/>
    <w:rsid w:val="00550718"/>
    <w:rsid w:val="00561117"/>
    <w:rsid w:val="00574028"/>
    <w:rsid w:val="00582673"/>
    <w:rsid w:val="005A0490"/>
    <w:rsid w:val="005A5A2C"/>
    <w:rsid w:val="005C7832"/>
    <w:rsid w:val="005D1475"/>
    <w:rsid w:val="005E0DA7"/>
    <w:rsid w:val="005E103D"/>
    <w:rsid w:val="005E4349"/>
    <w:rsid w:val="005E500F"/>
    <w:rsid w:val="005F2208"/>
    <w:rsid w:val="005F6424"/>
    <w:rsid w:val="00603BC1"/>
    <w:rsid w:val="0061649F"/>
    <w:rsid w:val="0063251D"/>
    <w:rsid w:val="00645A3D"/>
    <w:rsid w:val="00652532"/>
    <w:rsid w:val="00667771"/>
    <w:rsid w:val="00667E2D"/>
    <w:rsid w:val="00681FA9"/>
    <w:rsid w:val="006877BF"/>
    <w:rsid w:val="00691265"/>
    <w:rsid w:val="00697281"/>
    <w:rsid w:val="006A4019"/>
    <w:rsid w:val="006B02CA"/>
    <w:rsid w:val="006B2BCE"/>
    <w:rsid w:val="006B7578"/>
    <w:rsid w:val="006C1D87"/>
    <w:rsid w:val="006E5DDE"/>
    <w:rsid w:val="006F2238"/>
    <w:rsid w:val="00701AC2"/>
    <w:rsid w:val="00710890"/>
    <w:rsid w:val="00724C87"/>
    <w:rsid w:val="00742FB7"/>
    <w:rsid w:val="007508D4"/>
    <w:rsid w:val="00775D89"/>
    <w:rsid w:val="00786C09"/>
    <w:rsid w:val="00790224"/>
    <w:rsid w:val="00793ABD"/>
    <w:rsid w:val="007A243C"/>
    <w:rsid w:val="007A29CB"/>
    <w:rsid w:val="007D1450"/>
    <w:rsid w:val="007E2AA5"/>
    <w:rsid w:val="007F1EA4"/>
    <w:rsid w:val="007F476E"/>
    <w:rsid w:val="00803537"/>
    <w:rsid w:val="008038FC"/>
    <w:rsid w:val="00804D19"/>
    <w:rsid w:val="00817594"/>
    <w:rsid w:val="00826759"/>
    <w:rsid w:val="00827502"/>
    <w:rsid w:val="00827BE9"/>
    <w:rsid w:val="00831019"/>
    <w:rsid w:val="008573AF"/>
    <w:rsid w:val="00861455"/>
    <w:rsid w:val="00867820"/>
    <w:rsid w:val="00874384"/>
    <w:rsid w:val="008749AD"/>
    <w:rsid w:val="0088444D"/>
    <w:rsid w:val="00893409"/>
    <w:rsid w:val="008A0B53"/>
    <w:rsid w:val="008B04D6"/>
    <w:rsid w:val="008C51F8"/>
    <w:rsid w:val="008D3E9C"/>
    <w:rsid w:val="008D5EDD"/>
    <w:rsid w:val="00932A65"/>
    <w:rsid w:val="00933922"/>
    <w:rsid w:val="009452C9"/>
    <w:rsid w:val="009734F7"/>
    <w:rsid w:val="00984F69"/>
    <w:rsid w:val="00996011"/>
    <w:rsid w:val="009B2429"/>
    <w:rsid w:val="009B52A3"/>
    <w:rsid w:val="009D7A3B"/>
    <w:rsid w:val="009E1634"/>
    <w:rsid w:val="009F1E52"/>
    <w:rsid w:val="00A0015D"/>
    <w:rsid w:val="00A0326A"/>
    <w:rsid w:val="00A41F0F"/>
    <w:rsid w:val="00A52C85"/>
    <w:rsid w:val="00A55D3E"/>
    <w:rsid w:val="00A6400A"/>
    <w:rsid w:val="00A700ED"/>
    <w:rsid w:val="00A867EF"/>
    <w:rsid w:val="00A92772"/>
    <w:rsid w:val="00AA5DDE"/>
    <w:rsid w:val="00AC2B12"/>
    <w:rsid w:val="00AD6D19"/>
    <w:rsid w:val="00AF56F9"/>
    <w:rsid w:val="00B04192"/>
    <w:rsid w:val="00B04783"/>
    <w:rsid w:val="00B11ABC"/>
    <w:rsid w:val="00B11C2C"/>
    <w:rsid w:val="00B24034"/>
    <w:rsid w:val="00B4451F"/>
    <w:rsid w:val="00B47026"/>
    <w:rsid w:val="00B6200C"/>
    <w:rsid w:val="00B62C05"/>
    <w:rsid w:val="00B706E1"/>
    <w:rsid w:val="00B7511B"/>
    <w:rsid w:val="00B779EF"/>
    <w:rsid w:val="00B83394"/>
    <w:rsid w:val="00B92546"/>
    <w:rsid w:val="00BC63AB"/>
    <w:rsid w:val="00BD3029"/>
    <w:rsid w:val="00BE0BCA"/>
    <w:rsid w:val="00BF2CA5"/>
    <w:rsid w:val="00BF4089"/>
    <w:rsid w:val="00C34C2A"/>
    <w:rsid w:val="00C5176F"/>
    <w:rsid w:val="00C5489A"/>
    <w:rsid w:val="00C7323E"/>
    <w:rsid w:val="00C82658"/>
    <w:rsid w:val="00C95A72"/>
    <w:rsid w:val="00CE2367"/>
    <w:rsid w:val="00CE295B"/>
    <w:rsid w:val="00CF0723"/>
    <w:rsid w:val="00CF0835"/>
    <w:rsid w:val="00D07C71"/>
    <w:rsid w:val="00D25887"/>
    <w:rsid w:val="00D34E87"/>
    <w:rsid w:val="00D728CC"/>
    <w:rsid w:val="00D80AFF"/>
    <w:rsid w:val="00DA1BE0"/>
    <w:rsid w:val="00DA2035"/>
    <w:rsid w:val="00DA3243"/>
    <w:rsid w:val="00DB7293"/>
    <w:rsid w:val="00DC5922"/>
    <w:rsid w:val="00DD040B"/>
    <w:rsid w:val="00DD262E"/>
    <w:rsid w:val="00DD4A80"/>
    <w:rsid w:val="00DD5C4A"/>
    <w:rsid w:val="00DE7C48"/>
    <w:rsid w:val="00DF1AB4"/>
    <w:rsid w:val="00E06D68"/>
    <w:rsid w:val="00E107A2"/>
    <w:rsid w:val="00E30FA0"/>
    <w:rsid w:val="00E33CC5"/>
    <w:rsid w:val="00E33EB2"/>
    <w:rsid w:val="00E40116"/>
    <w:rsid w:val="00E46942"/>
    <w:rsid w:val="00E539F9"/>
    <w:rsid w:val="00E5529C"/>
    <w:rsid w:val="00E579A2"/>
    <w:rsid w:val="00E611A4"/>
    <w:rsid w:val="00E6221A"/>
    <w:rsid w:val="00E83A8C"/>
    <w:rsid w:val="00EA3502"/>
    <w:rsid w:val="00EB074F"/>
    <w:rsid w:val="00ED3A43"/>
    <w:rsid w:val="00ED3EB5"/>
    <w:rsid w:val="00ED4CC6"/>
    <w:rsid w:val="00ED4F36"/>
    <w:rsid w:val="00EF1EB4"/>
    <w:rsid w:val="00EF5E82"/>
    <w:rsid w:val="00F06F1B"/>
    <w:rsid w:val="00F11B22"/>
    <w:rsid w:val="00F2339D"/>
    <w:rsid w:val="00F344CC"/>
    <w:rsid w:val="00F4156F"/>
    <w:rsid w:val="00F43518"/>
    <w:rsid w:val="00F47DEE"/>
    <w:rsid w:val="00F67A8C"/>
    <w:rsid w:val="00F752BB"/>
    <w:rsid w:val="00F77B09"/>
    <w:rsid w:val="00F77C41"/>
    <w:rsid w:val="00FA6623"/>
    <w:rsid w:val="00FA6CDD"/>
    <w:rsid w:val="00FC05C3"/>
    <w:rsid w:val="00FC1EFB"/>
    <w:rsid w:val="00FC4A91"/>
    <w:rsid w:val="00FC52EF"/>
    <w:rsid w:val="00FD158A"/>
    <w:rsid w:val="00FD5058"/>
    <w:rsid w:val="00FD52C6"/>
    <w:rsid w:val="00FD7D56"/>
    <w:rsid w:val="00FE75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30B11"/>
  <w15:chartTrackingRefBased/>
  <w15:docId w15:val="{60929A71-7CC7-44A2-BAE4-A7B3AD8F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31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F31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F31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1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1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1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1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1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1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F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F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144"/>
    <w:rPr>
      <w:rFonts w:eastAsiaTheme="majorEastAsia" w:cstheme="majorBidi"/>
      <w:color w:val="272727" w:themeColor="text1" w:themeTint="D8"/>
    </w:rPr>
  </w:style>
  <w:style w:type="paragraph" w:styleId="Title">
    <w:name w:val="Title"/>
    <w:basedOn w:val="Normal"/>
    <w:next w:val="Normal"/>
    <w:link w:val="TitleChar"/>
    <w:uiPriority w:val="10"/>
    <w:qFormat/>
    <w:rsid w:val="003F31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1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144"/>
    <w:pPr>
      <w:spacing w:before="160"/>
      <w:jc w:val="center"/>
    </w:pPr>
    <w:rPr>
      <w:i/>
      <w:iCs/>
      <w:color w:val="404040" w:themeColor="text1" w:themeTint="BF"/>
    </w:rPr>
  </w:style>
  <w:style w:type="character" w:customStyle="1" w:styleId="QuoteChar">
    <w:name w:val="Quote Char"/>
    <w:basedOn w:val="DefaultParagraphFont"/>
    <w:link w:val="Quote"/>
    <w:uiPriority w:val="29"/>
    <w:rsid w:val="003F3144"/>
    <w:rPr>
      <w:i/>
      <w:iCs/>
      <w:color w:val="404040" w:themeColor="text1" w:themeTint="BF"/>
    </w:rPr>
  </w:style>
  <w:style w:type="paragraph" w:styleId="ListParagraph">
    <w:name w:val="List Paragraph"/>
    <w:basedOn w:val="Normal"/>
    <w:uiPriority w:val="34"/>
    <w:qFormat/>
    <w:rsid w:val="003F3144"/>
    <w:pPr>
      <w:ind w:left="720"/>
      <w:contextualSpacing/>
    </w:pPr>
  </w:style>
  <w:style w:type="character" w:styleId="IntenseEmphasis">
    <w:name w:val="Intense Emphasis"/>
    <w:basedOn w:val="DefaultParagraphFont"/>
    <w:uiPriority w:val="21"/>
    <w:qFormat/>
    <w:rsid w:val="003F3144"/>
    <w:rPr>
      <w:i/>
      <w:iCs/>
      <w:color w:val="0F4761" w:themeColor="accent1" w:themeShade="BF"/>
    </w:rPr>
  </w:style>
  <w:style w:type="paragraph" w:styleId="IntenseQuote">
    <w:name w:val="Intense Quote"/>
    <w:basedOn w:val="Normal"/>
    <w:next w:val="Normal"/>
    <w:link w:val="IntenseQuoteChar"/>
    <w:uiPriority w:val="30"/>
    <w:qFormat/>
    <w:rsid w:val="003F31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144"/>
    <w:rPr>
      <w:i/>
      <w:iCs/>
      <w:color w:val="0F4761" w:themeColor="accent1" w:themeShade="BF"/>
    </w:rPr>
  </w:style>
  <w:style w:type="character" w:styleId="IntenseReference">
    <w:name w:val="Intense Reference"/>
    <w:basedOn w:val="DefaultParagraphFont"/>
    <w:uiPriority w:val="32"/>
    <w:qFormat/>
    <w:rsid w:val="003F3144"/>
    <w:rPr>
      <w:b/>
      <w:bCs/>
      <w:smallCaps/>
      <w:color w:val="0F4761" w:themeColor="accent1" w:themeShade="BF"/>
      <w:spacing w:val="5"/>
    </w:rPr>
  </w:style>
  <w:style w:type="character" w:styleId="CommentReference">
    <w:name w:val="annotation reference"/>
    <w:basedOn w:val="DefaultParagraphFont"/>
    <w:uiPriority w:val="99"/>
    <w:semiHidden/>
    <w:unhideWhenUsed/>
    <w:rsid w:val="003F3144"/>
    <w:rPr>
      <w:sz w:val="16"/>
      <w:szCs w:val="16"/>
    </w:rPr>
  </w:style>
  <w:style w:type="paragraph" w:styleId="CommentText">
    <w:name w:val="annotation text"/>
    <w:basedOn w:val="Normal"/>
    <w:link w:val="CommentTextChar"/>
    <w:uiPriority w:val="99"/>
    <w:unhideWhenUsed/>
    <w:rsid w:val="003F3144"/>
    <w:pPr>
      <w:spacing w:before="240" w:after="120" w:line="276" w:lineRule="auto"/>
    </w:pPr>
    <w:rPr>
      <w:rFonts w:ascii="Arial" w:eastAsia="Arial" w:hAnsi="Arial" w:cs="Times New Roman"/>
      <w:kern w:val="0"/>
      <w:sz w:val="20"/>
      <w:szCs w:val="20"/>
    </w:rPr>
  </w:style>
  <w:style w:type="character" w:customStyle="1" w:styleId="CommentTextChar">
    <w:name w:val="Comment Text Char"/>
    <w:basedOn w:val="DefaultParagraphFont"/>
    <w:link w:val="CommentText"/>
    <w:uiPriority w:val="99"/>
    <w:rsid w:val="003F3144"/>
    <w:rPr>
      <w:rFonts w:ascii="Arial" w:eastAsia="Arial" w:hAnsi="Arial" w:cs="Times New Roman"/>
      <w:kern w:val="0"/>
      <w:sz w:val="20"/>
      <w:szCs w:val="20"/>
    </w:rPr>
  </w:style>
  <w:style w:type="character" w:customStyle="1" w:styleId="normaltextrun">
    <w:name w:val="normaltextrun"/>
    <w:basedOn w:val="DefaultParagraphFont"/>
    <w:rsid w:val="003F3144"/>
  </w:style>
  <w:style w:type="paragraph" w:styleId="NoSpacing">
    <w:name w:val="No Spacing"/>
    <w:uiPriority w:val="1"/>
    <w:qFormat/>
    <w:rsid w:val="00874384"/>
    <w:pPr>
      <w:spacing w:after="0" w:line="240" w:lineRule="auto"/>
    </w:pPr>
  </w:style>
  <w:style w:type="paragraph" w:styleId="Caption">
    <w:name w:val="caption"/>
    <w:basedOn w:val="Normal"/>
    <w:next w:val="Normal"/>
    <w:uiPriority w:val="35"/>
    <w:qFormat/>
    <w:rsid w:val="00F2339D"/>
    <w:pPr>
      <w:spacing w:before="360" w:after="0" w:line="276" w:lineRule="auto"/>
    </w:pPr>
    <w:rPr>
      <w:rFonts w:ascii="Arial" w:eastAsia="Arial" w:hAnsi="Arial" w:cs="Times New Roman"/>
      <w:b/>
      <w:iCs/>
      <w:kern w:val="0"/>
      <w:szCs w:val="18"/>
      <w14:ligatures w14:val="none"/>
    </w:rPr>
  </w:style>
  <w:style w:type="table" w:styleId="PlainTable2">
    <w:name w:val="Plain Table 2"/>
    <w:basedOn w:val="TableNormal"/>
    <w:uiPriority w:val="99"/>
    <w:rsid w:val="00F2339D"/>
    <w:pPr>
      <w:spacing w:after="0" w:line="240" w:lineRule="auto"/>
    </w:pPr>
    <w:rPr>
      <w:rFonts w:ascii="Arial" w:eastAsia="Arial" w:hAnsi="Arial" w:cs="Times New Roman"/>
      <w:kern w:val="0"/>
      <w:sz w:val="20"/>
      <w:szCs w:val="20"/>
      <w:lang w:eastAsia="en-GB"/>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iPriority w:val="99"/>
    <w:rsid w:val="00B24034"/>
    <w:rPr>
      <w:color w:val="1D70B8"/>
      <w:u w:val="single"/>
    </w:rPr>
  </w:style>
  <w:style w:type="paragraph" w:styleId="TOCHeading">
    <w:name w:val="TOC Heading"/>
    <w:basedOn w:val="Heading1"/>
    <w:next w:val="Normal"/>
    <w:uiPriority w:val="39"/>
    <w:unhideWhenUsed/>
    <w:qFormat/>
    <w:rsid w:val="00466419"/>
    <w:pPr>
      <w:spacing w:before="240" w:after="0"/>
      <w:outlineLvl w:val="9"/>
    </w:pPr>
    <w:rPr>
      <w:kern w:val="0"/>
      <w:sz w:val="32"/>
      <w:szCs w:val="32"/>
      <w:lang w:eastAsia="en-GB"/>
      <w14:ligatures w14:val="none"/>
    </w:rPr>
  </w:style>
  <w:style w:type="paragraph" w:styleId="TOC2">
    <w:name w:val="toc 2"/>
    <w:basedOn w:val="Normal"/>
    <w:next w:val="Normal"/>
    <w:autoRedefine/>
    <w:uiPriority w:val="39"/>
    <w:unhideWhenUsed/>
    <w:rsid w:val="00466419"/>
    <w:pPr>
      <w:spacing w:after="100"/>
      <w:ind w:left="220"/>
    </w:pPr>
  </w:style>
  <w:style w:type="paragraph" w:styleId="TOC3">
    <w:name w:val="toc 3"/>
    <w:basedOn w:val="Normal"/>
    <w:next w:val="Normal"/>
    <w:autoRedefine/>
    <w:uiPriority w:val="39"/>
    <w:unhideWhenUsed/>
    <w:rsid w:val="00466419"/>
    <w:pPr>
      <w:spacing w:after="100"/>
      <w:ind w:left="440"/>
    </w:pPr>
  </w:style>
  <w:style w:type="paragraph" w:styleId="Header">
    <w:name w:val="header"/>
    <w:basedOn w:val="Normal"/>
    <w:link w:val="HeaderChar"/>
    <w:uiPriority w:val="99"/>
    <w:unhideWhenUsed/>
    <w:rsid w:val="003B1B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1B3B"/>
  </w:style>
  <w:style w:type="paragraph" w:styleId="Footer">
    <w:name w:val="footer"/>
    <w:basedOn w:val="Normal"/>
    <w:link w:val="FooterChar"/>
    <w:uiPriority w:val="99"/>
    <w:unhideWhenUsed/>
    <w:rsid w:val="003B1B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B3B"/>
  </w:style>
  <w:style w:type="paragraph" w:customStyle="1" w:styleId="EndNoteBibliography">
    <w:name w:val="EndNote Bibliography"/>
    <w:basedOn w:val="Normal"/>
    <w:link w:val="EndNoteBibliographyChar"/>
    <w:rsid w:val="00790224"/>
    <w:pPr>
      <w:spacing w:before="240" w:after="120" w:line="240" w:lineRule="auto"/>
    </w:pPr>
    <w:rPr>
      <w:rFonts w:ascii="Arial" w:eastAsia="Arial" w:hAnsi="Arial" w:cs="Arial"/>
      <w:noProof/>
      <w:kern w:val="0"/>
      <w:sz w:val="24"/>
      <w:lang w:val="en-US"/>
      <w14:ligatures w14:val="none"/>
    </w:rPr>
  </w:style>
  <w:style w:type="character" w:customStyle="1" w:styleId="EndNoteBibliographyChar">
    <w:name w:val="EndNote Bibliography Char"/>
    <w:basedOn w:val="DefaultParagraphFont"/>
    <w:link w:val="EndNoteBibliography"/>
    <w:rsid w:val="00790224"/>
    <w:rPr>
      <w:rFonts w:ascii="Arial" w:eastAsia="Arial" w:hAnsi="Arial" w:cs="Arial"/>
      <w:noProof/>
      <w:kern w:val="0"/>
      <w:sz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69310">
      <w:bodyDiv w:val="1"/>
      <w:marLeft w:val="0"/>
      <w:marRight w:val="0"/>
      <w:marTop w:val="0"/>
      <w:marBottom w:val="0"/>
      <w:divBdr>
        <w:top w:val="none" w:sz="0" w:space="0" w:color="auto"/>
        <w:left w:val="none" w:sz="0" w:space="0" w:color="auto"/>
        <w:bottom w:val="none" w:sz="0" w:space="0" w:color="auto"/>
        <w:right w:val="none" w:sz="0" w:space="0" w:color="auto"/>
      </w:divBdr>
    </w:div>
    <w:div w:id="526800401">
      <w:bodyDiv w:val="1"/>
      <w:marLeft w:val="0"/>
      <w:marRight w:val="0"/>
      <w:marTop w:val="0"/>
      <w:marBottom w:val="0"/>
      <w:divBdr>
        <w:top w:val="none" w:sz="0" w:space="0" w:color="auto"/>
        <w:left w:val="none" w:sz="0" w:space="0" w:color="auto"/>
        <w:bottom w:val="none" w:sz="0" w:space="0" w:color="auto"/>
        <w:right w:val="none" w:sz="0" w:space="0" w:color="auto"/>
      </w:divBdr>
    </w:div>
    <w:div w:id="527716049">
      <w:bodyDiv w:val="1"/>
      <w:marLeft w:val="0"/>
      <w:marRight w:val="0"/>
      <w:marTop w:val="0"/>
      <w:marBottom w:val="0"/>
      <w:divBdr>
        <w:top w:val="none" w:sz="0" w:space="0" w:color="auto"/>
        <w:left w:val="none" w:sz="0" w:space="0" w:color="auto"/>
        <w:bottom w:val="none" w:sz="0" w:space="0" w:color="auto"/>
        <w:right w:val="none" w:sz="0" w:space="0" w:color="auto"/>
      </w:divBdr>
    </w:div>
    <w:div w:id="644310234">
      <w:bodyDiv w:val="1"/>
      <w:marLeft w:val="0"/>
      <w:marRight w:val="0"/>
      <w:marTop w:val="0"/>
      <w:marBottom w:val="0"/>
      <w:divBdr>
        <w:top w:val="none" w:sz="0" w:space="0" w:color="auto"/>
        <w:left w:val="none" w:sz="0" w:space="0" w:color="auto"/>
        <w:bottom w:val="none" w:sz="0" w:space="0" w:color="auto"/>
        <w:right w:val="none" w:sz="0" w:space="0" w:color="auto"/>
      </w:divBdr>
    </w:div>
    <w:div w:id="678586652">
      <w:bodyDiv w:val="1"/>
      <w:marLeft w:val="0"/>
      <w:marRight w:val="0"/>
      <w:marTop w:val="0"/>
      <w:marBottom w:val="0"/>
      <w:divBdr>
        <w:top w:val="none" w:sz="0" w:space="0" w:color="auto"/>
        <w:left w:val="none" w:sz="0" w:space="0" w:color="auto"/>
        <w:bottom w:val="none" w:sz="0" w:space="0" w:color="auto"/>
        <w:right w:val="none" w:sz="0" w:space="0" w:color="auto"/>
      </w:divBdr>
    </w:div>
    <w:div w:id="783187303">
      <w:bodyDiv w:val="1"/>
      <w:marLeft w:val="0"/>
      <w:marRight w:val="0"/>
      <w:marTop w:val="0"/>
      <w:marBottom w:val="0"/>
      <w:divBdr>
        <w:top w:val="none" w:sz="0" w:space="0" w:color="auto"/>
        <w:left w:val="none" w:sz="0" w:space="0" w:color="auto"/>
        <w:bottom w:val="none" w:sz="0" w:space="0" w:color="auto"/>
        <w:right w:val="none" w:sz="0" w:space="0" w:color="auto"/>
      </w:divBdr>
    </w:div>
    <w:div w:id="817914490">
      <w:bodyDiv w:val="1"/>
      <w:marLeft w:val="0"/>
      <w:marRight w:val="0"/>
      <w:marTop w:val="0"/>
      <w:marBottom w:val="0"/>
      <w:divBdr>
        <w:top w:val="none" w:sz="0" w:space="0" w:color="auto"/>
        <w:left w:val="none" w:sz="0" w:space="0" w:color="auto"/>
        <w:bottom w:val="none" w:sz="0" w:space="0" w:color="auto"/>
        <w:right w:val="none" w:sz="0" w:space="0" w:color="auto"/>
      </w:divBdr>
    </w:div>
    <w:div w:id="866985061">
      <w:bodyDiv w:val="1"/>
      <w:marLeft w:val="0"/>
      <w:marRight w:val="0"/>
      <w:marTop w:val="0"/>
      <w:marBottom w:val="0"/>
      <w:divBdr>
        <w:top w:val="none" w:sz="0" w:space="0" w:color="auto"/>
        <w:left w:val="none" w:sz="0" w:space="0" w:color="auto"/>
        <w:bottom w:val="none" w:sz="0" w:space="0" w:color="auto"/>
        <w:right w:val="none" w:sz="0" w:space="0" w:color="auto"/>
      </w:divBdr>
    </w:div>
    <w:div w:id="1034379055">
      <w:bodyDiv w:val="1"/>
      <w:marLeft w:val="0"/>
      <w:marRight w:val="0"/>
      <w:marTop w:val="0"/>
      <w:marBottom w:val="0"/>
      <w:divBdr>
        <w:top w:val="none" w:sz="0" w:space="0" w:color="auto"/>
        <w:left w:val="none" w:sz="0" w:space="0" w:color="auto"/>
        <w:bottom w:val="none" w:sz="0" w:space="0" w:color="auto"/>
        <w:right w:val="none" w:sz="0" w:space="0" w:color="auto"/>
      </w:divBdr>
    </w:div>
    <w:div w:id="1094208723">
      <w:bodyDiv w:val="1"/>
      <w:marLeft w:val="0"/>
      <w:marRight w:val="0"/>
      <w:marTop w:val="0"/>
      <w:marBottom w:val="0"/>
      <w:divBdr>
        <w:top w:val="none" w:sz="0" w:space="0" w:color="auto"/>
        <w:left w:val="none" w:sz="0" w:space="0" w:color="auto"/>
        <w:bottom w:val="none" w:sz="0" w:space="0" w:color="auto"/>
        <w:right w:val="none" w:sz="0" w:space="0" w:color="auto"/>
      </w:divBdr>
    </w:div>
    <w:div w:id="1396464180">
      <w:bodyDiv w:val="1"/>
      <w:marLeft w:val="0"/>
      <w:marRight w:val="0"/>
      <w:marTop w:val="0"/>
      <w:marBottom w:val="0"/>
      <w:divBdr>
        <w:top w:val="none" w:sz="0" w:space="0" w:color="auto"/>
        <w:left w:val="none" w:sz="0" w:space="0" w:color="auto"/>
        <w:bottom w:val="none" w:sz="0" w:space="0" w:color="auto"/>
        <w:right w:val="none" w:sz="0" w:space="0" w:color="auto"/>
      </w:divBdr>
    </w:div>
    <w:div w:id="1412122300">
      <w:bodyDiv w:val="1"/>
      <w:marLeft w:val="0"/>
      <w:marRight w:val="0"/>
      <w:marTop w:val="0"/>
      <w:marBottom w:val="0"/>
      <w:divBdr>
        <w:top w:val="none" w:sz="0" w:space="0" w:color="auto"/>
        <w:left w:val="none" w:sz="0" w:space="0" w:color="auto"/>
        <w:bottom w:val="none" w:sz="0" w:space="0" w:color="auto"/>
        <w:right w:val="none" w:sz="0" w:space="0" w:color="auto"/>
      </w:divBdr>
    </w:div>
    <w:div w:id="1412389731">
      <w:bodyDiv w:val="1"/>
      <w:marLeft w:val="0"/>
      <w:marRight w:val="0"/>
      <w:marTop w:val="0"/>
      <w:marBottom w:val="0"/>
      <w:divBdr>
        <w:top w:val="none" w:sz="0" w:space="0" w:color="auto"/>
        <w:left w:val="none" w:sz="0" w:space="0" w:color="auto"/>
        <w:bottom w:val="none" w:sz="0" w:space="0" w:color="auto"/>
        <w:right w:val="none" w:sz="0" w:space="0" w:color="auto"/>
      </w:divBdr>
    </w:div>
    <w:div w:id="1497065257">
      <w:bodyDiv w:val="1"/>
      <w:marLeft w:val="0"/>
      <w:marRight w:val="0"/>
      <w:marTop w:val="0"/>
      <w:marBottom w:val="0"/>
      <w:divBdr>
        <w:top w:val="none" w:sz="0" w:space="0" w:color="auto"/>
        <w:left w:val="none" w:sz="0" w:space="0" w:color="auto"/>
        <w:bottom w:val="none" w:sz="0" w:space="0" w:color="auto"/>
        <w:right w:val="none" w:sz="0" w:space="0" w:color="auto"/>
      </w:divBdr>
    </w:div>
    <w:div w:id="1706371763">
      <w:bodyDiv w:val="1"/>
      <w:marLeft w:val="0"/>
      <w:marRight w:val="0"/>
      <w:marTop w:val="0"/>
      <w:marBottom w:val="0"/>
      <w:divBdr>
        <w:top w:val="none" w:sz="0" w:space="0" w:color="auto"/>
        <w:left w:val="none" w:sz="0" w:space="0" w:color="auto"/>
        <w:bottom w:val="none" w:sz="0" w:space="0" w:color="auto"/>
        <w:right w:val="none" w:sz="0" w:space="0" w:color="auto"/>
      </w:divBdr>
    </w:div>
    <w:div w:id="1783454654">
      <w:bodyDiv w:val="1"/>
      <w:marLeft w:val="0"/>
      <w:marRight w:val="0"/>
      <w:marTop w:val="0"/>
      <w:marBottom w:val="0"/>
      <w:divBdr>
        <w:top w:val="none" w:sz="0" w:space="0" w:color="auto"/>
        <w:left w:val="none" w:sz="0" w:space="0" w:color="auto"/>
        <w:bottom w:val="none" w:sz="0" w:space="0" w:color="auto"/>
        <w:right w:val="none" w:sz="0" w:space="0" w:color="auto"/>
      </w:divBdr>
    </w:div>
    <w:div w:id="1812597007">
      <w:bodyDiv w:val="1"/>
      <w:marLeft w:val="0"/>
      <w:marRight w:val="0"/>
      <w:marTop w:val="0"/>
      <w:marBottom w:val="0"/>
      <w:divBdr>
        <w:top w:val="none" w:sz="0" w:space="0" w:color="auto"/>
        <w:left w:val="none" w:sz="0" w:space="0" w:color="auto"/>
        <w:bottom w:val="none" w:sz="0" w:space="0" w:color="auto"/>
        <w:right w:val="none" w:sz="0" w:space="0" w:color="auto"/>
      </w:divBdr>
    </w:div>
    <w:div w:id="1946107504">
      <w:bodyDiv w:val="1"/>
      <w:marLeft w:val="0"/>
      <w:marRight w:val="0"/>
      <w:marTop w:val="0"/>
      <w:marBottom w:val="0"/>
      <w:divBdr>
        <w:top w:val="none" w:sz="0" w:space="0" w:color="auto"/>
        <w:left w:val="none" w:sz="0" w:space="0" w:color="auto"/>
        <w:bottom w:val="none" w:sz="0" w:space="0" w:color="auto"/>
        <w:right w:val="none" w:sz="0" w:space="0" w:color="auto"/>
      </w:divBdr>
    </w:div>
    <w:div w:id="1949963592">
      <w:bodyDiv w:val="1"/>
      <w:marLeft w:val="0"/>
      <w:marRight w:val="0"/>
      <w:marTop w:val="0"/>
      <w:marBottom w:val="0"/>
      <w:divBdr>
        <w:top w:val="none" w:sz="0" w:space="0" w:color="auto"/>
        <w:left w:val="none" w:sz="0" w:space="0" w:color="auto"/>
        <w:bottom w:val="none" w:sz="0" w:space="0" w:color="auto"/>
        <w:right w:val="none" w:sz="0" w:space="0" w:color="auto"/>
      </w:divBdr>
    </w:div>
    <w:div w:id="1957252073">
      <w:bodyDiv w:val="1"/>
      <w:marLeft w:val="0"/>
      <w:marRight w:val="0"/>
      <w:marTop w:val="0"/>
      <w:marBottom w:val="0"/>
      <w:divBdr>
        <w:top w:val="none" w:sz="0" w:space="0" w:color="auto"/>
        <w:left w:val="none" w:sz="0" w:space="0" w:color="auto"/>
        <w:bottom w:val="none" w:sz="0" w:space="0" w:color="auto"/>
        <w:right w:val="none" w:sz="0" w:space="0" w:color="auto"/>
      </w:divBdr>
    </w:div>
    <w:div w:id="212704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15E8-B447-4306-8EB3-E730FCD0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2625</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Maria de la Barra</dc:creator>
  <cp:keywords/>
  <dc:description/>
  <cp:lastModifiedBy>Paula Maria de la Barra</cp:lastModifiedBy>
  <cp:revision>75</cp:revision>
  <cp:lastPrinted>2025-10-31T17:29:00Z</cp:lastPrinted>
  <dcterms:created xsi:type="dcterms:W3CDTF">2025-11-11T16:13:00Z</dcterms:created>
  <dcterms:modified xsi:type="dcterms:W3CDTF">2025-11-13T14:02:00Z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c71873ee-5b70-49bf-a97f-92d463301e3e</vt:lpwstr>
  </property>
</Properties>
</file>