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C243" w14:textId="77777777" w:rsidR="001E3ACB" w:rsidRPr="00D054CC" w:rsidRDefault="001E3ACB" w:rsidP="001B3490">
      <w:pPr>
        <w:pStyle w:val="Heading1"/>
        <w:rPr>
          <w:sz w:val="32"/>
          <w:szCs w:val="32"/>
        </w:rPr>
      </w:pPr>
      <w:r w:rsidRPr="00D054CC">
        <w:rPr>
          <w:sz w:val="32"/>
          <w:szCs w:val="32"/>
        </w:rPr>
        <w:t>Working Title</w:t>
      </w:r>
    </w:p>
    <w:p w14:paraId="133C3A37" w14:textId="77777777" w:rsidR="001E3ACB" w:rsidRPr="00205849" w:rsidRDefault="001E3ACB" w:rsidP="00C32939">
      <w:pPr>
        <w:pStyle w:val="pf0"/>
        <w:spacing w:before="0" w:beforeAutospacing="0" w:after="120" w:afterAutospacing="0" w:line="276" w:lineRule="auto"/>
        <w:rPr>
          <w:rFonts w:asciiTheme="minorHAnsi" w:hAnsiTheme="minorHAnsi" w:cstheme="minorHAnsi"/>
          <w:sz w:val="22"/>
          <w:szCs w:val="22"/>
        </w:rPr>
      </w:pPr>
      <w:r w:rsidRPr="00205849">
        <w:rPr>
          <w:rFonts w:asciiTheme="minorHAnsi" w:hAnsiTheme="minorHAnsi" w:cstheme="minorHAnsi"/>
          <w:sz w:val="22"/>
          <w:szCs w:val="22"/>
        </w:rPr>
        <w:t>Measured air pollutant concentrations from solid fuel burning in Scotland 2023-2024</w:t>
      </w:r>
    </w:p>
    <w:p w14:paraId="08921A77" w14:textId="77777777" w:rsidR="001E3ACB" w:rsidRPr="001B3490" w:rsidRDefault="001E3ACB" w:rsidP="00C32939">
      <w:pPr>
        <w:pStyle w:val="Heading1"/>
        <w:spacing w:before="240"/>
      </w:pPr>
      <w:r w:rsidRPr="001B3490">
        <w:t>Summary</w:t>
      </w:r>
    </w:p>
    <w:p w14:paraId="680DE978" w14:textId="799861DD" w:rsidR="001E3ACB" w:rsidRPr="00205849" w:rsidRDefault="00D72951" w:rsidP="00CA338B">
      <w:r>
        <w:t>This dataset includes m</w:t>
      </w:r>
      <w:r w:rsidR="001E3ACB" w:rsidRPr="00205849">
        <w:t xml:space="preserve">easurements of air pollutants related to solid fuel burning carried out </w:t>
      </w:r>
      <w:proofErr w:type="gramStart"/>
      <w:r w:rsidR="001E3ACB" w:rsidRPr="00205849">
        <w:t>during</w:t>
      </w:r>
      <w:proofErr w:type="gramEnd"/>
      <w:r w:rsidR="001E3ACB" w:rsidRPr="00205849">
        <w:t xml:space="preserve"> two winter campaigns in Scotland. </w:t>
      </w:r>
      <w:r>
        <w:t>C</w:t>
      </w:r>
      <w:r w:rsidR="001E3ACB" w:rsidRPr="00205849">
        <w:t>ontinuous measurements at two routine monitoring sites in Scotland</w:t>
      </w:r>
      <w:r>
        <w:t xml:space="preserve"> were also processed and analysed</w:t>
      </w:r>
      <w:r w:rsidR="001E3ACB" w:rsidRPr="00205849">
        <w:t xml:space="preserve"> to identify solid fuel burning contributions. These measurements and processing were carried out as part of a project for the Scottish Government, aiming to understand </w:t>
      </w:r>
      <w:r w:rsidR="001E3ACB">
        <w:t>the impacts of</w:t>
      </w:r>
      <w:r w:rsidR="001E3ACB" w:rsidRPr="00205849">
        <w:t xml:space="preserve"> solid fuel burning on air pollution in Scotland.</w:t>
      </w:r>
    </w:p>
    <w:p w14:paraId="78C2A12B" w14:textId="77777777" w:rsidR="001E3ACB" w:rsidRPr="001B3490" w:rsidRDefault="001E3ACB" w:rsidP="00C32939">
      <w:pPr>
        <w:pStyle w:val="Heading1"/>
        <w:spacing w:before="240"/>
        <w:rPr>
          <w:rStyle w:val="Heading2Char"/>
          <w:sz w:val="36"/>
          <w:szCs w:val="36"/>
        </w:rPr>
      </w:pPr>
      <w:bookmarkStart w:id="0" w:name="_Toc167878270"/>
      <w:r w:rsidRPr="001B3490">
        <w:rPr>
          <w:rStyle w:val="Heading2Char"/>
          <w:sz w:val="36"/>
          <w:szCs w:val="36"/>
        </w:rPr>
        <w:t>File format</w:t>
      </w:r>
      <w:bookmarkEnd w:id="0"/>
    </w:p>
    <w:p w14:paraId="5DADE322" w14:textId="77777777" w:rsidR="001E3ACB" w:rsidRPr="00205849" w:rsidRDefault="001E3ACB" w:rsidP="00CA338B">
      <w:r>
        <w:t>The file format for each measurement site is CSV</w:t>
      </w:r>
    </w:p>
    <w:p w14:paraId="72EF7A92" w14:textId="77777777" w:rsidR="001E3ACB" w:rsidRPr="001B3490" w:rsidRDefault="001E3ACB" w:rsidP="00C32939">
      <w:pPr>
        <w:pStyle w:val="Heading1"/>
        <w:spacing w:before="240"/>
        <w:rPr>
          <w:rStyle w:val="Heading2Char"/>
          <w:sz w:val="36"/>
          <w:szCs w:val="36"/>
        </w:rPr>
      </w:pPr>
      <w:bookmarkStart w:id="1" w:name="_Toc167878271"/>
      <w:r w:rsidRPr="001B3490">
        <w:rPr>
          <w:rStyle w:val="Heading2Char"/>
          <w:sz w:val="36"/>
          <w:szCs w:val="36"/>
        </w:rPr>
        <w:t>File names and/or naming convention</w:t>
      </w:r>
      <w:bookmarkEnd w:id="1"/>
    </w:p>
    <w:p w14:paraId="683E3078" w14:textId="77777777" w:rsidR="001E3ACB" w:rsidRDefault="001E3ACB" w:rsidP="00D054CC">
      <w:pPr>
        <w:spacing w:after="0"/>
      </w:pPr>
      <w:r w:rsidRPr="002B049F">
        <w:t>There are</w:t>
      </w:r>
      <w:r>
        <w:t>:</w:t>
      </w:r>
    </w:p>
    <w:p w14:paraId="34D64822" w14:textId="541101E6" w:rsidR="001E3ACB" w:rsidRDefault="001E3ACB" w:rsidP="00D054CC">
      <w:pPr>
        <w:pStyle w:val="ListParagraph"/>
        <w:numPr>
          <w:ilvl w:val="0"/>
          <w:numId w:val="20"/>
        </w:numPr>
        <w:spacing w:after="100" w:afterAutospacing="1"/>
      </w:pPr>
      <w:r w:rsidRPr="002B049F">
        <w:t xml:space="preserve"> </w:t>
      </w:r>
      <w:r>
        <w:t>2</w:t>
      </w:r>
      <w:r w:rsidRPr="002B049F">
        <w:t xml:space="preserve"> files with the following name convention: YYYY_StationName.csv</w:t>
      </w:r>
      <w:r w:rsidR="00D72951">
        <w:t xml:space="preserve"> containing campaign measurements; and</w:t>
      </w:r>
      <w:r>
        <w:t xml:space="preserve"> </w:t>
      </w:r>
    </w:p>
    <w:p w14:paraId="1B9A0058" w14:textId="50788C86" w:rsidR="001E3ACB" w:rsidRDefault="001E3ACB" w:rsidP="00D054CC">
      <w:pPr>
        <w:pStyle w:val="ListParagraph"/>
        <w:numPr>
          <w:ilvl w:val="0"/>
          <w:numId w:val="20"/>
        </w:numPr>
        <w:spacing w:after="100" w:afterAutospacing="1"/>
      </w:pPr>
      <w:r>
        <w:t>2 files with the name convention StationName.csv</w:t>
      </w:r>
      <w:r w:rsidR="00D72951">
        <w:t xml:space="preserve"> containing processed routine measurements</w:t>
      </w:r>
      <w:r>
        <w:t xml:space="preserve"> </w:t>
      </w:r>
    </w:p>
    <w:p w14:paraId="7E0BE816" w14:textId="77777777" w:rsidR="001E3ACB" w:rsidRPr="00D91CEA" w:rsidRDefault="001E3ACB" w:rsidP="00D054CC">
      <w:pPr>
        <w:spacing w:after="100" w:afterAutospacing="1"/>
      </w:pPr>
      <w:r w:rsidRPr="00D91CEA">
        <w:t xml:space="preserve">Where YYYY refers to the </w:t>
      </w:r>
      <w:r>
        <w:t>year</w:t>
      </w:r>
      <w:r w:rsidRPr="00D91CEA">
        <w:t xml:space="preserve"> the measurements were recorded and </w:t>
      </w:r>
      <w:proofErr w:type="spellStart"/>
      <w:r w:rsidRPr="00D91CEA">
        <w:t>StationName</w:t>
      </w:r>
      <w:proofErr w:type="spellEnd"/>
      <w:r w:rsidRPr="00D91CEA">
        <w:t xml:space="preserve"> is the name of the station</w:t>
      </w:r>
      <w:r>
        <w:t xml:space="preserve"> or field site</w:t>
      </w:r>
      <w:r w:rsidRPr="00D91CEA">
        <w:t xml:space="preserve"> at which the measurements were recorded. </w:t>
      </w:r>
    </w:p>
    <w:p w14:paraId="29D39612" w14:textId="77777777" w:rsidR="001E3ACB" w:rsidRPr="001B3490" w:rsidRDefault="001E3ACB" w:rsidP="00C32939">
      <w:pPr>
        <w:pStyle w:val="Heading1"/>
        <w:spacing w:before="240"/>
      </w:pPr>
      <w:r w:rsidRPr="001B3490">
        <w:rPr>
          <w:rStyle w:val="cf01"/>
          <w:rFonts w:asciiTheme="majorHAnsi" w:hAnsiTheme="majorHAnsi" w:cstheme="majorBidi"/>
          <w:sz w:val="36"/>
          <w:szCs w:val="36"/>
        </w:rPr>
        <w:t xml:space="preserve">Nature and </w:t>
      </w:r>
      <w:r>
        <w:rPr>
          <w:rStyle w:val="cf01"/>
          <w:rFonts w:asciiTheme="majorHAnsi" w:hAnsiTheme="majorHAnsi" w:cstheme="majorBidi"/>
          <w:sz w:val="36"/>
          <w:szCs w:val="36"/>
        </w:rPr>
        <w:t>u</w:t>
      </w:r>
      <w:r w:rsidRPr="001B3490">
        <w:rPr>
          <w:rStyle w:val="cf01"/>
          <w:rFonts w:asciiTheme="majorHAnsi" w:hAnsiTheme="majorHAnsi" w:cstheme="majorBidi"/>
          <w:sz w:val="36"/>
          <w:szCs w:val="36"/>
        </w:rPr>
        <w:t xml:space="preserve">nits of recorded values </w:t>
      </w:r>
    </w:p>
    <w:p w14:paraId="42C005A5" w14:textId="77777777" w:rsidR="001E3ACB" w:rsidRDefault="001E3ACB" w:rsidP="001E3ACB">
      <w:r w:rsidRPr="00CD6AFD">
        <w:t>Missing values are indicated by 'N/A’</w:t>
      </w:r>
    </w:p>
    <w:p w14:paraId="1549372A" w14:textId="77777777" w:rsidR="00AE6AE9" w:rsidRPr="00AE6AE9" w:rsidRDefault="00D72951" w:rsidP="001E3ACB">
      <w:r w:rsidRPr="00AE6AE9">
        <w:t>PM</w:t>
      </w:r>
      <w:r w:rsidRPr="00AE6AE9">
        <w:rPr>
          <w:vertAlign w:val="subscript"/>
        </w:rPr>
        <w:t>2.5</w:t>
      </w:r>
      <w:r w:rsidRPr="00AE6AE9">
        <w:t xml:space="preserve"> – particulate matter with aerodynamic diameter below 2.5 </w:t>
      </w:r>
      <w:r w:rsidRPr="00AE6AE9">
        <w:rPr>
          <w:rFonts w:cstheme="minorHAnsi"/>
        </w:rPr>
        <w:t>µ</w:t>
      </w:r>
      <w:r w:rsidRPr="00AE6AE9">
        <w:t>m</w:t>
      </w:r>
    </w:p>
    <w:p w14:paraId="2388D78A" w14:textId="313785B4" w:rsidR="00D72951" w:rsidRPr="00AE6AE9" w:rsidRDefault="00AE6AE9" w:rsidP="001E3ACB">
      <w:r w:rsidRPr="00AE6AE9">
        <w:rPr>
          <w:rFonts w:ascii="Calibri" w:hAnsi="Calibri" w:cs="Calibri"/>
          <w:color w:val="000000"/>
        </w:rPr>
        <w:t>PM</w:t>
      </w:r>
      <w:r w:rsidRPr="00AE6AE9">
        <w:rPr>
          <w:rFonts w:ascii="Calibri" w:hAnsi="Calibri" w:cs="Calibri"/>
          <w:color w:val="000000"/>
          <w:vertAlign w:val="subscript"/>
        </w:rPr>
        <w:t>1</w:t>
      </w:r>
      <w:r w:rsidR="00D72951" w:rsidRPr="00AE6AE9">
        <w:t xml:space="preserve"> – </w:t>
      </w:r>
      <w:r w:rsidRPr="00AE6AE9">
        <w:t xml:space="preserve">particulate matter with aerodynamic diameter below 1 </w:t>
      </w:r>
      <w:r w:rsidRPr="00AE6AE9">
        <w:rPr>
          <w:rFonts w:cstheme="minorHAnsi"/>
        </w:rPr>
        <w:t>µ</w:t>
      </w:r>
      <w:r w:rsidRPr="00AE6AE9">
        <w:t>m</w:t>
      </w:r>
    </w:p>
    <w:p w14:paraId="5BA571BE" w14:textId="7B54A427" w:rsidR="001E3ACB" w:rsidRPr="00190CA3" w:rsidRDefault="001E3ACB"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t>2023_Edinburgh.csv and in 2024_Charlestown.csv</w:t>
      </w:r>
      <w:r w:rsidR="004E5F70">
        <w:t xml:space="preserve"> </w:t>
      </w:r>
    </w:p>
    <w:tbl>
      <w:tblPr>
        <w:tblStyle w:val="GridTable1Light"/>
        <w:tblW w:w="9183" w:type="dxa"/>
        <w:tblLayout w:type="fixed"/>
        <w:tblLook w:val="06A0" w:firstRow="1" w:lastRow="0" w:firstColumn="1" w:lastColumn="0" w:noHBand="1" w:noVBand="1"/>
      </w:tblPr>
      <w:tblGrid>
        <w:gridCol w:w="2830"/>
        <w:gridCol w:w="4820"/>
        <w:gridCol w:w="1533"/>
      </w:tblGrid>
      <w:tr w:rsidR="001E3ACB" w:rsidRPr="00190CA3" w14:paraId="359F588F" w14:textId="77777777" w:rsidTr="00CD23D9">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750967F4" w14:textId="77777777" w:rsidR="001E3ACB" w:rsidRPr="00190CA3" w:rsidRDefault="001E3ACB" w:rsidP="00EB1C11">
            <w:pPr>
              <w:spacing w:before="120" w:after="120" w:line="240" w:lineRule="auto"/>
            </w:pPr>
            <w:r w:rsidRPr="00190CA3">
              <w:t>Variable/Column header</w:t>
            </w:r>
          </w:p>
        </w:tc>
        <w:tc>
          <w:tcPr>
            <w:tcW w:w="4820" w:type="dxa"/>
            <w:vAlign w:val="bottom"/>
          </w:tcPr>
          <w:p w14:paraId="04E5E4FE" w14:textId="77777777" w:rsidR="001E3ACB" w:rsidRPr="00190CA3" w:rsidRDefault="001E3ACB"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533" w:type="dxa"/>
            <w:vAlign w:val="bottom"/>
          </w:tcPr>
          <w:p w14:paraId="028EA6BD" w14:textId="77777777" w:rsidR="001E3ACB" w:rsidRPr="00190CA3" w:rsidRDefault="001E3ACB"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FC491E" w:rsidRPr="00190CA3" w14:paraId="4A449D8F" w14:textId="77777777" w:rsidTr="00CD23D9">
        <w:trPr>
          <w:cantSplit/>
          <w:trHeight w:val="304"/>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61AFA53" w14:textId="55683A4B" w:rsidR="00FC491E" w:rsidRDefault="00FC491E" w:rsidP="00EB11D7">
            <w:pPr>
              <w:spacing w:before="80" w:after="80" w:line="264" w:lineRule="auto"/>
              <w:rPr>
                <w:rFonts w:ascii="Calibri" w:hAnsi="Calibri" w:cs="Calibri"/>
                <w:color w:val="000000"/>
              </w:rPr>
            </w:pPr>
            <w:r>
              <w:rPr>
                <w:rFonts w:ascii="Calibri" w:hAnsi="Calibri" w:cs="Calibri"/>
                <w:color w:val="000000"/>
              </w:rPr>
              <w:t>date</w:t>
            </w:r>
          </w:p>
        </w:tc>
        <w:tc>
          <w:tcPr>
            <w:tcW w:w="4820" w:type="dxa"/>
            <w:vAlign w:val="bottom"/>
          </w:tcPr>
          <w:p w14:paraId="640226C7" w14:textId="1DBD49C1" w:rsidR="00FC491E" w:rsidRDefault="00FC491E" w:rsidP="00EB11D7">
            <w:pPr>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gramStart"/>
            <w:r>
              <w:rPr>
                <w:rFonts w:ascii="Calibri" w:hAnsi="Calibri" w:cs="Calibri"/>
                <w:color w:val="000000"/>
              </w:rPr>
              <w:t>Time-stamp</w:t>
            </w:r>
            <w:proofErr w:type="gramEnd"/>
            <w:r>
              <w:rPr>
                <w:rFonts w:ascii="Calibri" w:hAnsi="Calibri" w:cs="Calibri"/>
                <w:color w:val="000000"/>
              </w:rPr>
              <w:t xml:space="preserve"> of </w:t>
            </w:r>
            <w:r w:rsidRPr="00AE6AE9">
              <w:rPr>
                <w:rFonts w:ascii="Calibri" w:hAnsi="Calibri" w:cs="Calibri"/>
                <w:color w:val="000000"/>
              </w:rPr>
              <w:t xml:space="preserve">the end of </w:t>
            </w:r>
            <w:r w:rsidR="00CD23D9" w:rsidRPr="00AE6AE9">
              <w:rPr>
                <w:rFonts w:ascii="Calibri" w:hAnsi="Calibri" w:cs="Calibri"/>
                <w:color w:val="000000"/>
              </w:rPr>
              <w:t xml:space="preserve">each </w:t>
            </w:r>
            <w:r w:rsidRPr="00AE6AE9">
              <w:rPr>
                <w:rFonts w:ascii="Calibri" w:hAnsi="Calibri" w:cs="Calibri"/>
                <w:color w:val="000000"/>
              </w:rPr>
              <w:t>measurement period</w:t>
            </w:r>
          </w:p>
        </w:tc>
        <w:tc>
          <w:tcPr>
            <w:tcW w:w="1533" w:type="dxa"/>
            <w:vAlign w:val="bottom"/>
          </w:tcPr>
          <w:p w14:paraId="41969E53" w14:textId="283DF64C" w:rsidR="00FC491E" w:rsidRPr="00D72951" w:rsidRDefault="00FC491E" w:rsidP="00EB11D7">
            <w:pPr>
              <w:spacing w:before="80" w:after="80" w:line="264" w:lineRule="auto"/>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Format ‘dd/mm/</w:t>
            </w:r>
            <w:proofErr w:type="spellStart"/>
            <w:r>
              <w:rPr>
                <w:rFonts w:cstheme="minorHAnsi"/>
              </w:rPr>
              <w:t>yyyy</w:t>
            </w:r>
            <w:proofErr w:type="spellEnd"/>
            <w:r>
              <w:rPr>
                <w:rFonts w:cstheme="minorHAnsi"/>
              </w:rPr>
              <w:t xml:space="preserve"> HH:MM’</w:t>
            </w:r>
          </w:p>
        </w:tc>
      </w:tr>
      <w:tr w:rsidR="001E3ACB" w:rsidRPr="00190CA3" w14:paraId="25A4B3A1" w14:textId="77777777" w:rsidTr="00CD23D9">
        <w:trPr>
          <w:cantSplit/>
          <w:trHeight w:val="304"/>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D152CC2" w14:textId="77777777" w:rsidR="001E3ACB" w:rsidRPr="00630012" w:rsidRDefault="001E3ACB" w:rsidP="00EB11D7">
            <w:pPr>
              <w:spacing w:before="80" w:after="80" w:line="264" w:lineRule="auto"/>
              <w:rPr>
                <w:b w:val="0"/>
                <w:bCs w:val="0"/>
                <w:i/>
                <w:iCs/>
                <w:color w:val="BFBFBF" w:themeColor="background1" w:themeShade="BF"/>
              </w:rPr>
            </w:pPr>
            <w:r>
              <w:rPr>
                <w:rFonts w:ascii="Calibri" w:hAnsi="Calibri" w:cs="Calibri"/>
                <w:color w:val="000000"/>
              </w:rPr>
              <w:lastRenderedPageBreak/>
              <w:t>NO3</w:t>
            </w:r>
          </w:p>
        </w:tc>
        <w:tc>
          <w:tcPr>
            <w:tcW w:w="4820" w:type="dxa"/>
            <w:vAlign w:val="bottom"/>
          </w:tcPr>
          <w:p w14:paraId="7062F1E7" w14:textId="173AD939" w:rsidR="001E3ACB" w:rsidRPr="00630012"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rPr>
                <w:i/>
                <w:iCs/>
                <w:color w:val="BFBFBF" w:themeColor="background1" w:themeShade="BF"/>
              </w:rPr>
            </w:pPr>
            <w:r>
              <w:rPr>
                <w:rFonts w:ascii="Calibri" w:hAnsi="Calibri" w:cs="Calibri"/>
                <w:color w:val="000000"/>
              </w:rPr>
              <w:t xml:space="preserve">Nitrate </w:t>
            </w:r>
            <w:r w:rsidR="00AE6AE9">
              <w:rPr>
                <w:rFonts w:ascii="Calibri" w:hAnsi="Calibri" w:cs="Calibri"/>
                <w:color w:val="000000"/>
              </w:rPr>
              <w:t>in PM</w:t>
            </w:r>
            <w:r w:rsidR="00AE6AE9" w:rsidRPr="00AE6AE9">
              <w:rPr>
                <w:rFonts w:ascii="Calibri" w:hAnsi="Calibri" w:cs="Calibri"/>
                <w:color w:val="000000"/>
                <w:vertAlign w:val="subscript"/>
              </w:rPr>
              <w:t>1</w:t>
            </w:r>
          </w:p>
        </w:tc>
        <w:tc>
          <w:tcPr>
            <w:tcW w:w="1533" w:type="dxa"/>
            <w:vAlign w:val="bottom"/>
          </w:tcPr>
          <w:p w14:paraId="1EE72C8C" w14:textId="2BB3B863" w:rsidR="001E3ACB" w:rsidRPr="00630012"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rPr>
                <w:i/>
                <w:iCs/>
                <w:color w:val="BFBFBF" w:themeColor="background1" w:themeShade="BF"/>
              </w:rPr>
            </w:pPr>
            <w:r w:rsidRPr="00D72951">
              <w:rPr>
                <w:rFonts w:cstheme="minorHAnsi"/>
              </w:rPr>
              <w:t>µ</w:t>
            </w:r>
            <w:r w:rsidR="001E3ACB">
              <w:rPr>
                <w:rFonts w:ascii="Calibri" w:hAnsi="Calibri" w:cs="Calibri"/>
                <w:color w:val="000000"/>
              </w:rPr>
              <w:t>g m</w:t>
            </w:r>
            <w:r w:rsidR="001E3ACB" w:rsidRPr="00D72951">
              <w:rPr>
                <w:rFonts w:ascii="Calibri" w:hAnsi="Calibri" w:cs="Calibri"/>
                <w:color w:val="000000"/>
                <w:vertAlign w:val="superscript"/>
              </w:rPr>
              <w:t>-3</w:t>
            </w:r>
          </w:p>
        </w:tc>
      </w:tr>
      <w:tr w:rsidR="001E3ACB" w:rsidRPr="00190CA3" w14:paraId="57F44AAA" w14:textId="77777777" w:rsidTr="00CD23D9">
        <w:trPr>
          <w:cantSplit/>
          <w:trHeight w:val="341"/>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A8BE6E1" w14:textId="77777777" w:rsidR="001E3ACB" w:rsidRPr="00190CA3" w:rsidRDefault="001E3ACB" w:rsidP="00EB11D7">
            <w:pPr>
              <w:spacing w:before="80" w:after="80" w:line="264" w:lineRule="auto"/>
            </w:pPr>
            <w:r>
              <w:rPr>
                <w:rFonts w:ascii="Calibri" w:hAnsi="Calibri" w:cs="Calibri"/>
                <w:color w:val="000000"/>
              </w:rPr>
              <w:t xml:space="preserve">SO4 </w:t>
            </w:r>
          </w:p>
        </w:tc>
        <w:tc>
          <w:tcPr>
            <w:tcW w:w="4820" w:type="dxa"/>
            <w:vAlign w:val="bottom"/>
          </w:tcPr>
          <w:p w14:paraId="242512D7" w14:textId="6B0711C8"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Sulphate </w:t>
            </w:r>
            <w:r w:rsidR="00AE6AE9">
              <w:rPr>
                <w:rFonts w:ascii="Calibri" w:hAnsi="Calibri" w:cs="Calibri"/>
                <w:color w:val="000000"/>
              </w:rPr>
              <w:t>in PM</w:t>
            </w:r>
            <w:r w:rsidR="00AE6AE9" w:rsidRPr="00AE6AE9">
              <w:rPr>
                <w:rFonts w:ascii="Calibri" w:hAnsi="Calibri" w:cs="Calibri"/>
                <w:color w:val="000000"/>
                <w:vertAlign w:val="subscript"/>
              </w:rPr>
              <w:t>1</w:t>
            </w:r>
          </w:p>
        </w:tc>
        <w:tc>
          <w:tcPr>
            <w:tcW w:w="1533" w:type="dxa"/>
            <w:vAlign w:val="bottom"/>
          </w:tcPr>
          <w:p w14:paraId="3D50986C" w14:textId="42F5BBB1"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7937C370"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1E13705" w14:textId="77777777" w:rsidR="001E3ACB" w:rsidRPr="00190CA3" w:rsidRDefault="001E3ACB" w:rsidP="00EB11D7">
            <w:pPr>
              <w:spacing w:before="80" w:after="80" w:line="264" w:lineRule="auto"/>
            </w:pPr>
            <w:r>
              <w:rPr>
                <w:rFonts w:ascii="Calibri" w:hAnsi="Calibri" w:cs="Calibri"/>
                <w:color w:val="000000"/>
              </w:rPr>
              <w:t xml:space="preserve">NH4 </w:t>
            </w:r>
          </w:p>
        </w:tc>
        <w:tc>
          <w:tcPr>
            <w:tcW w:w="4820" w:type="dxa"/>
            <w:vAlign w:val="bottom"/>
          </w:tcPr>
          <w:p w14:paraId="48089DCC" w14:textId="478873B4"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Ammonium </w:t>
            </w:r>
            <w:r w:rsidR="00AE6AE9">
              <w:rPr>
                <w:rFonts w:ascii="Calibri" w:hAnsi="Calibri" w:cs="Calibri"/>
                <w:color w:val="000000"/>
              </w:rPr>
              <w:t>in PM</w:t>
            </w:r>
            <w:r w:rsidR="00AE6AE9" w:rsidRPr="00AE6AE9">
              <w:rPr>
                <w:rFonts w:ascii="Calibri" w:hAnsi="Calibri" w:cs="Calibri"/>
                <w:color w:val="000000"/>
                <w:vertAlign w:val="subscript"/>
              </w:rPr>
              <w:t>1</w:t>
            </w:r>
          </w:p>
        </w:tc>
        <w:tc>
          <w:tcPr>
            <w:tcW w:w="1533" w:type="dxa"/>
            <w:vAlign w:val="bottom"/>
          </w:tcPr>
          <w:p w14:paraId="0D9A72EE" w14:textId="549EBE3D"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4D2D5326"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6B519B9E" w14:textId="77777777" w:rsidR="001E3ACB" w:rsidRPr="00190CA3" w:rsidRDefault="001E3ACB" w:rsidP="00EB11D7">
            <w:pPr>
              <w:spacing w:before="80" w:after="80" w:line="264" w:lineRule="auto"/>
            </w:pPr>
            <w:r>
              <w:rPr>
                <w:rFonts w:ascii="Calibri" w:hAnsi="Calibri" w:cs="Calibri"/>
                <w:color w:val="000000"/>
              </w:rPr>
              <w:t xml:space="preserve">Cl </w:t>
            </w:r>
          </w:p>
        </w:tc>
        <w:tc>
          <w:tcPr>
            <w:tcW w:w="4820" w:type="dxa"/>
            <w:vAlign w:val="bottom"/>
          </w:tcPr>
          <w:p w14:paraId="34CBE706" w14:textId="1664358C"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Chloride </w:t>
            </w:r>
            <w:r w:rsidR="00AE6AE9">
              <w:rPr>
                <w:rFonts w:ascii="Calibri" w:hAnsi="Calibri" w:cs="Calibri"/>
                <w:color w:val="000000"/>
              </w:rPr>
              <w:t>in PM</w:t>
            </w:r>
            <w:r w:rsidR="00AE6AE9" w:rsidRPr="00AE6AE9">
              <w:rPr>
                <w:rFonts w:ascii="Calibri" w:hAnsi="Calibri" w:cs="Calibri"/>
                <w:color w:val="000000"/>
                <w:vertAlign w:val="subscript"/>
              </w:rPr>
              <w:t>1</w:t>
            </w:r>
          </w:p>
        </w:tc>
        <w:tc>
          <w:tcPr>
            <w:tcW w:w="1533" w:type="dxa"/>
            <w:vAlign w:val="bottom"/>
          </w:tcPr>
          <w:p w14:paraId="0D6A96F1" w14:textId="1D1CC95A"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560BE9B5"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EDBAA1A" w14:textId="77777777" w:rsidR="001E3ACB" w:rsidRPr="00190CA3" w:rsidRDefault="001E3ACB" w:rsidP="00EB11D7">
            <w:pPr>
              <w:spacing w:before="80" w:after="80" w:line="264" w:lineRule="auto"/>
            </w:pPr>
            <w:r>
              <w:rPr>
                <w:rFonts w:ascii="Calibri" w:hAnsi="Calibri" w:cs="Calibri"/>
                <w:color w:val="000000"/>
              </w:rPr>
              <w:t xml:space="preserve">Org </w:t>
            </w:r>
          </w:p>
        </w:tc>
        <w:tc>
          <w:tcPr>
            <w:tcW w:w="4820" w:type="dxa"/>
            <w:vAlign w:val="bottom"/>
          </w:tcPr>
          <w:p w14:paraId="2C19845C" w14:textId="1317CF79"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Organic matter </w:t>
            </w:r>
            <w:r w:rsidR="00AE6AE9">
              <w:rPr>
                <w:rFonts w:ascii="Calibri" w:hAnsi="Calibri" w:cs="Calibri"/>
                <w:color w:val="000000"/>
              </w:rPr>
              <w:t>in PM</w:t>
            </w:r>
            <w:r w:rsidR="00AE6AE9" w:rsidRPr="00AE6AE9">
              <w:rPr>
                <w:rFonts w:ascii="Calibri" w:hAnsi="Calibri" w:cs="Calibri"/>
                <w:color w:val="000000"/>
                <w:vertAlign w:val="subscript"/>
              </w:rPr>
              <w:t>1</w:t>
            </w:r>
          </w:p>
        </w:tc>
        <w:tc>
          <w:tcPr>
            <w:tcW w:w="1533" w:type="dxa"/>
            <w:vAlign w:val="bottom"/>
          </w:tcPr>
          <w:p w14:paraId="69F779E3" w14:textId="6C5EEC01"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409BBEB5"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2211A257" w14:textId="77777777" w:rsidR="001E3ACB" w:rsidRPr="00190CA3" w:rsidRDefault="001E3ACB" w:rsidP="00EB11D7">
            <w:pPr>
              <w:spacing w:before="80" w:after="80" w:line="264" w:lineRule="auto"/>
            </w:pPr>
            <w:proofErr w:type="spellStart"/>
            <w:r>
              <w:rPr>
                <w:rFonts w:ascii="Calibri" w:hAnsi="Calibri" w:cs="Calibri"/>
                <w:color w:val="000000"/>
              </w:rPr>
              <w:t>eBC</w:t>
            </w:r>
            <w:proofErr w:type="spellEnd"/>
            <w:r>
              <w:rPr>
                <w:rFonts w:ascii="Calibri" w:hAnsi="Calibri" w:cs="Calibri"/>
                <w:color w:val="000000"/>
              </w:rPr>
              <w:t xml:space="preserve"> </w:t>
            </w:r>
          </w:p>
        </w:tc>
        <w:tc>
          <w:tcPr>
            <w:tcW w:w="4820" w:type="dxa"/>
            <w:vAlign w:val="bottom"/>
          </w:tcPr>
          <w:p w14:paraId="198DB86D" w14:textId="79B7B1AE"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equivalent black carbon </w:t>
            </w:r>
          </w:p>
        </w:tc>
        <w:tc>
          <w:tcPr>
            <w:tcW w:w="1533" w:type="dxa"/>
            <w:vAlign w:val="bottom"/>
          </w:tcPr>
          <w:p w14:paraId="6CE8F8C0" w14:textId="1E9EC577"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68FB7E6F"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1F00164" w14:textId="77777777" w:rsidR="001E3ACB" w:rsidRPr="00190CA3" w:rsidRDefault="001E3ACB" w:rsidP="00EB11D7">
            <w:pPr>
              <w:spacing w:before="80" w:after="80" w:line="264" w:lineRule="auto"/>
            </w:pPr>
            <w:bookmarkStart w:id="2" w:name="_Hlk214025927"/>
            <w:proofErr w:type="spellStart"/>
            <w:r>
              <w:rPr>
                <w:rFonts w:ascii="Calibri" w:hAnsi="Calibri" w:cs="Calibri"/>
                <w:color w:val="000000"/>
              </w:rPr>
              <w:t>eBCwb</w:t>
            </w:r>
            <w:proofErr w:type="spellEnd"/>
          </w:p>
        </w:tc>
        <w:tc>
          <w:tcPr>
            <w:tcW w:w="4820" w:type="dxa"/>
            <w:vAlign w:val="bottom"/>
          </w:tcPr>
          <w:p w14:paraId="5F7238C9" w14:textId="21FA2683"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equivalent black carbon from wood burning with </w:t>
            </w:r>
            <w:r w:rsidRPr="00AE6AE9">
              <w:rPr>
                <w:rFonts w:ascii="Calibri" w:hAnsi="Calibri" w:cs="Calibri"/>
                <w:color w:val="000000"/>
              </w:rPr>
              <w:t xml:space="preserve">standard </w:t>
            </w:r>
            <w:r w:rsidR="004E5F70" w:rsidRPr="00AE6AE9">
              <w:rPr>
                <w:rFonts w:ascii="Calibri" w:eastAsia="Times New Roman" w:hAnsi="Calibri" w:cs="Calibri"/>
              </w:rPr>
              <w:t xml:space="preserve">Absorption </w:t>
            </w:r>
            <w:r w:rsidR="00FC491E" w:rsidRPr="00AE6AE9">
              <w:rPr>
                <w:rFonts w:ascii="Calibri" w:eastAsia="Times New Roman" w:hAnsi="Calibri" w:cs="Calibri"/>
              </w:rPr>
              <w:t>Å</w:t>
            </w:r>
            <w:r w:rsidR="004E5F70" w:rsidRPr="00AE6AE9">
              <w:rPr>
                <w:rFonts w:ascii="Calibri" w:eastAsia="Times New Roman" w:hAnsi="Calibri" w:cs="Calibri"/>
              </w:rPr>
              <w:t>ngstr</w:t>
            </w:r>
            <w:r w:rsidR="00FC491E" w:rsidRPr="00AE6AE9">
              <w:rPr>
                <w:rFonts w:ascii="Calibri" w:eastAsia="Times New Roman" w:hAnsi="Calibri" w:cs="Calibri"/>
              </w:rPr>
              <w:t>ö</w:t>
            </w:r>
            <w:r w:rsidR="004E5F70" w:rsidRPr="00AE6AE9">
              <w:rPr>
                <w:rFonts w:ascii="Calibri" w:eastAsia="Times New Roman" w:hAnsi="Calibri" w:cs="Calibri"/>
              </w:rPr>
              <w:t>m Exponent (</w:t>
            </w:r>
            <w:r w:rsidRPr="00AE6AE9">
              <w:rPr>
                <w:rFonts w:ascii="Calibri" w:hAnsi="Calibri" w:cs="Calibri"/>
                <w:color w:val="000000"/>
              </w:rPr>
              <w:t>AAE</w:t>
            </w:r>
            <w:r w:rsidR="004E5F70" w:rsidRPr="00AE6AE9">
              <w:rPr>
                <w:rFonts w:ascii="Calibri" w:hAnsi="Calibri" w:cs="Calibri"/>
                <w:color w:val="000000"/>
              </w:rPr>
              <w:t>)</w:t>
            </w:r>
            <w:r w:rsidRPr="00AE6AE9">
              <w:rPr>
                <w:rFonts w:ascii="Calibri" w:hAnsi="Calibri" w:cs="Calibri"/>
                <w:color w:val="000000"/>
              </w:rPr>
              <w:t>.</w:t>
            </w:r>
            <w:r>
              <w:rPr>
                <w:rFonts w:ascii="Calibri" w:hAnsi="Calibri" w:cs="Calibri"/>
                <w:color w:val="000000"/>
              </w:rPr>
              <w:t xml:space="preserve">  Refer to Fig 4.15 in final report </w:t>
            </w:r>
            <w:r w:rsidR="00DE4CDE">
              <w:rPr>
                <w:rFonts w:ascii="Calibri" w:hAnsi="Calibri" w:cs="Calibri"/>
                <w:color w:val="000000"/>
              </w:rPr>
              <w:t>Nemitz et al. (2025)</w:t>
            </w:r>
          </w:p>
        </w:tc>
        <w:tc>
          <w:tcPr>
            <w:tcW w:w="1533" w:type="dxa"/>
            <w:vAlign w:val="bottom"/>
          </w:tcPr>
          <w:p w14:paraId="3BF96098" w14:textId="3A4129A9"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2FF8431B"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132E52A7" w14:textId="77777777" w:rsidR="001E3ACB" w:rsidRPr="00190CA3" w:rsidRDefault="001E3ACB" w:rsidP="00EB11D7">
            <w:pPr>
              <w:spacing w:before="80" w:after="80" w:line="264" w:lineRule="auto"/>
            </w:pPr>
            <w:proofErr w:type="spellStart"/>
            <w:r>
              <w:rPr>
                <w:rFonts w:ascii="Calibri" w:hAnsi="Calibri" w:cs="Calibri"/>
                <w:color w:val="000000"/>
              </w:rPr>
              <w:t>eBCtr</w:t>
            </w:r>
            <w:proofErr w:type="spellEnd"/>
            <w:r>
              <w:rPr>
                <w:rFonts w:ascii="Calibri" w:hAnsi="Calibri" w:cs="Calibri"/>
                <w:color w:val="000000"/>
              </w:rPr>
              <w:t xml:space="preserve">  </w:t>
            </w:r>
          </w:p>
        </w:tc>
        <w:tc>
          <w:tcPr>
            <w:tcW w:w="4820" w:type="dxa"/>
            <w:vAlign w:val="bottom"/>
          </w:tcPr>
          <w:p w14:paraId="73257A7A" w14:textId="7CBBDCFA"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equivalent black carbon from traffic with </w:t>
            </w:r>
            <w:r w:rsidRPr="00EB11D7">
              <w:rPr>
                <w:rFonts w:ascii="Calibri" w:hAnsi="Calibri" w:cs="Calibri"/>
                <w:b/>
                <w:bCs/>
                <w:color w:val="000000"/>
              </w:rPr>
              <w:t xml:space="preserve">standard </w:t>
            </w:r>
            <w:r>
              <w:rPr>
                <w:rFonts w:ascii="Calibri" w:hAnsi="Calibri" w:cs="Calibri"/>
                <w:color w:val="000000"/>
              </w:rPr>
              <w:t xml:space="preserve">AAE. Refer to Fig 4.15 in final report </w:t>
            </w:r>
            <w:r w:rsidR="00DE4CDE">
              <w:rPr>
                <w:rFonts w:ascii="Calibri" w:hAnsi="Calibri" w:cs="Calibri"/>
                <w:color w:val="000000"/>
              </w:rPr>
              <w:t>Nemitz et al. (2025)</w:t>
            </w:r>
          </w:p>
        </w:tc>
        <w:tc>
          <w:tcPr>
            <w:tcW w:w="1533" w:type="dxa"/>
            <w:vAlign w:val="bottom"/>
          </w:tcPr>
          <w:p w14:paraId="7FD881CB" w14:textId="10304F12"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0D8C5382"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62332E1C" w14:textId="77777777" w:rsidR="001E3ACB" w:rsidRPr="00190CA3" w:rsidRDefault="001E3ACB" w:rsidP="00EB11D7">
            <w:pPr>
              <w:spacing w:before="80" w:after="80" w:line="264" w:lineRule="auto"/>
            </w:pPr>
            <w:proofErr w:type="spellStart"/>
            <w:r>
              <w:rPr>
                <w:rFonts w:ascii="Calibri" w:hAnsi="Calibri" w:cs="Calibri"/>
                <w:color w:val="000000"/>
              </w:rPr>
              <w:t>eBCwb_ss</w:t>
            </w:r>
            <w:proofErr w:type="spellEnd"/>
            <w:r>
              <w:rPr>
                <w:rFonts w:ascii="Calibri" w:hAnsi="Calibri" w:cs="Calibri"/>
                <w:color w:val="000000"/>
              </w:rPr>
              <w:t xml:space="preserve"> </w:t>
            </w:r>
          </w:p>
        </w:tc>
        <w:tc>
          <w:tcPr>
            <w:tcW w:w="4820" w:type="dxa"/>
            <w:vAlign w:val="bottom"/>
          </w:tcPr>
          <w:p w14:paraId="607CD710" w14:textId="3C918A9A"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equivalent black carbon from wood burning with </w:t>
            </w:r>
            <w:r w:rsidRPr="00EB11D7">
              <w:rPr>
                <w:rFonts w:ascii="Calibri" w:hAnsi="Calibri" w:cs="Calibri"/>
                <w:b/>
                <w:bCs/>
                <w:color w:val="000000"/>
              </w:rPr>
              <w:t>site-specific</w:t>
            </w:r>
            <w:r>
              <w:rPr>
                <w:rFonts w:ascii="Calibri" w:hAnsi="Calibri" w:cs="Calibri"/>
                <w:color w:val="000000"/>
              </w:rPr>
              <w:t xml:space="preserve"> AAE. Refer to Fig 4.15 in final report </w:t>
            </w:r>
            <w:r w:rsidR="00DE4CDE">
              <w:rPr>
                <w:rFonts w:ascii="Calibri" w:hAnsi="Calibri" w:cs="Calibri"/>
                <w:color w:val="000000"/>
              </w:rPr>
              <w:t>Nemitz et al. (2025)</w:t>
            </w:r>
          </w:p>
        </w:tc>
        <w:tc>
          <w:tcPr>
            <w:tcW w:w="1533" w:type="dxa"/>
            <w:vAlign w:val="bottom"/>
          </w:tcPr>
          <w:p w14:paraId="30537A6C" w14:textId="09A304C9"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3EFA55F1"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B6C66A2" w14:textId="77777777" w:rsidR="001E3ACB" w:rsidRPr="00190CA3" w:rsidRDefault="001E3ACB" w:rsidP="00EB11D7">
            <w:pPr>
              <w:spacing w:before="80" w:after="80" w:line="264" w:lineRule="auto"/>
            </w:pPr>
            <w:proofErr w:type="spellStart"/>
            <w:r>
              <w:rPr>
                <w:rFonts w:ascii="Calibri" w:hAnsi="Calibri" w:cs="Calibri"/>
                <w:color w:val="000000"/>
              </w:rPr>
              <w:t>eBCtr_ss</w:t>
            </w:r>
            <w:proofErr w:type="spellEnd"/>
            <w:r>
              <w:rPr>
                <w:rFonts w:ascii="Calibri" w:hAnsi="Calibri" w:cs="Calibri"/>
                <w:color w:val="000000"/>
              </w:rPr>
              <w:t xml:space="preserve">  </w:t>
            </w:r>
          </w:p>
        </w:tc>
        <w:tc>
          <w:tcPr>
            <w:tcW w:w="4820" w:type="dxa"/>
            <w:vAlign w:val="bottom"/>
          </w:tcPr>
          <w:p w14:paraId="68AA4ED5" w14:textId="4476393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equivalent black carbon from traffic with site-specific AAE. Refer to Fig 4.15 in final report </w:t>
            </w:r>
            <w:r w:rsidR="00DE4CDE">
              <w:rPr>
                <w:rFonts w:ascii="Calibri" w:hAnsi="Calibri" w:cs="Calibri"/>
                <w:color w:val="000000"/>
              </w:rPr>
              <w:t>Nemitz et al. (2025)</w:t>
            </w:r>
          </w:p>
        </w:tc>
        <w:tc>
          <w:tcPr>
            <w:tcW w:w="1533" w:type="dxa"/>
            <w:vAlign w:val="bottom"/>
          </w:tcPr>
          <w:p w14:paraId="689F367D" w14:textId="3AF79161"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3A1C69DE"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24BFD40C" w14:textId="77777777" w:rsidR="001E3ACB" w:rsidRPr="00190CA3" w:rsidRDefault="001E3ACB" w:rsidP="00EB11D7">
            <w:pPr>
              <w:spacing w:before="80" w:after="80" w:line="264" w:lineRule="auto"/>
            </w:pPr>
            <w:proofErr w:type="spellStart"/>
            <w:r>
              <w:rPr>
                <w:rFonts w:ascii="Calibri" w:hAnsi="Calibri" w:cs="Calibri"/>
                <w:color w:val="000000"/>
              </w:rPr>
              <w:t>eBCwb_mid</w:t>
            </w:r>
            <w:proofErr w:type="spellEnd"/>
            <w:r>
              <w:rPr>
                <w:rFonts w:ascii="Calibri" w:hAnsi="Calibri" w:cs="Calibri"/>
                <w:color w:val="000000"/>
              </w:rPr>
              <w:t xml:space="preserve">  </w:t>
            </w:r>
          </w:p>
        </w:tc>
        <w:tc>
          <w:tcPr>
            <w:tcW w:w="4820" w:type="dxa"/>
            <w:vAlign w:val="bottom"/>
          </w:tcPr>
          <w:p w14:paraId="6E368D80" w14:textId="24CDF2F4"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equivalent black carbon from wood burning with a mid</w:t>
            </w:r>
            <w:r w:rsidR="00D72951">
              <w:rPr>
                <w:rFonts w:ascii="Calibri" w:hAnsi="Calibri" w:cs="Calibri"/>
                <w:color w:val="000000"/>
              </w:rPr>
              <w:t>-</w:t>
            </w:r>
            <w:r>
              <w:rPr>
                <w:rFonts w:ascii="Calibri" w:hAnsi="Calibri" w:cs="Calibri"/>
                <w:color w:val="000000"/>
              </w:rPr>
              <w:t xml:space="preserve">value </w:t>
            </w:r>
            <w:r w:rsidRPr="00AE6AE9">
              <w:rPr>
                <w:rFonts w:ascii="Calibri" w:hAnsi="Calibri" w:cs="Calibri"/>
                <w:color w:val="000000"/>
              </w:rPr>
              <w:t>AAE</w:t>
            </w:r>
            <w:r w:rsidR="00D72951" w:rsidRPr="00AE6AE9">
              <w:rPr>
                <w:rFonts w:ascii="Calibri" w:hAnsi="Calibri" w:cs="Calibri"/>
                <w:color w:val="000000"/>
              </w:rPr>
              <w:t xml:space="preserve"> (between the standard and site-specific values</w:t>
            </w:r>
            <w:r w:rsidR="00D72951" w:rsidRPr="00DF2267">
              <w:rPr>
                <w:rFonts w:ascii="Calibri" w:hAnsi="Calibri" w:cs="Calibri"/>
                <w:color w:val="000000"/>
              </w:rPr>
              <w:t>)</w:t>
            </w:r>
            <w:r>
              <w:rPr>
                <w:rFonts w:ascii="Calibri" w:hAnsi="Calibri" w:cs="Calibri"/>
                <w:color w:val="000000"/>
              </w:rPr>
              <w:t xml:space="preserve">. Refer to Fig 4.15 in final report </w:t>
            </w:r>
            <w:r w:rsidR="00DE4CDE">
              <w:rPr>
                <w:rFonts w:ascii="Calibri" w:hAnsi="Calibri" w:cs="Calibri"/>
                <w:color w:val="000000"/>
              </w:rPr>
              <w:t>Nemitz et al. (2025)</w:t>
            </w:r>
          </w:p>
        </w:tc>
        <w:tc>
          <w:tcPr>
            <w:tcW w:w="1533" w:type="dxa"/>
            <w:vAlign w:val="bottom"/>
          </w:tcPr>
          <w:p w14:paraId="3DDF49BB" w14:textId="45C6A513"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4C8A534F"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6F1648CE" w14:textId="77777777" w:rsidR="001E3ACB" w:rsidRPr="00190CA3" w:rsidRDefault="001E3ACB" w:rsidP="00EB11D7">
            <w:pPr>
              <w:spacing w:before="80" w:after="80" w:line="264" w:lineRule="auto"/>
            </w:pPr>
            <w:proofErr w:type="spellStart"/>
            <w:r>
              <w:rPr>
                <w:rFonts w:ascii="Calibri" w:hAnsi="Calibri" w:cs="Calibri"/>
                <w:color w:val="000000"/>
              </w:rPr>
              <w:t>eBCtr_mid</w:t>
            </w:r>
            <w:proofErr w:type="spellEnd"/>
          </w:p>
        </w:tc>
        <w:tc>
          <w:tcPr>
            <w:tcW w:w="4820" w:type="dxa"/>
            <w:vAlign w:val="bottom"/>
          </w:tcPr>
          <w:p w14:paraId="44F3FAE6" w14:textId="4C8E5982"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equivalent black carbon from traffic with a mid</w:t>
            </w:r>
            <w:r w:rsidR="00D72951">
              <w:rPr>
                <w:rFonts w:ascii="Calibri" w:hAnsi="Calibri" w:cs="Calibri"/>
                <w:color w:val="000000"/>
              </w:rPr>
              <w:t>-</w:t>
            </w:r>
            <w:r>
              <w:rPr>
                <w:rFonts w:ascii="Calibri" w:hAnsi="Calibri" w:cs="Calibri"/>
                <w:color w:val="000000"/>
              </w:rPr>
              <w:t xml:space="preserve">value AAE </w:t>
            </w:r>
            <w:r w:rsidR="00D72951" w:rsidRPr="00AE6AE9">
              <w:rPr>
                <w:rFonts w:ascii="Calibri" w:hAnsi="Calibri" w:cs="Calibri"/>
                <w:color w:val="000000"/>
              </w:rPr>
              <w:t>(between the standard and site-specific values)</w:t>
            </w:r>
            <w:r w:rsidRPr="00AE6AE9">
              <w:rPr>
                <w:rFonts w:ascii="Calibri" w:hAnsi="Calibri" w:cs="Calibri"/>
                <w:color w:val="000000"/>
              </w:rPr>
              <w:t>.</w:t>
            </w:r>
            <w:r w:rsidR="00D72951" w:rsidRPr="00AE6AE9">
              <w:rPr>
                <w:rFonts w:ascii="Calibri" w:hAnsi="Calibri" w:cs="Calibri"/>
                <w:color w:val="000000"/>
              </w:rPr>
              <w:t xml:space="preserve"> </w:t>
            </w:r>
            <w:r w:rsidRPr="00AE6AE9">
              <w:rPr>
                <w:rFonts w:ascii="Calibri" w:hAnsi="Calibri" w:cs="Calibri"/>
                <w:color w:val="000000"/>
              </w:rPr>
              <w:t>Re</w:t>
            </w:r>
            <w:r>
              <w:rPr>
                <w:rFonts w:ascii="Calibri" w:hAnsi="Calibri" w:cs="Calibri"/>
                <w:color w:val="000000"/>
              </w:rPr>
              <w:t xml:space="preserve">fer to Fig 4.15 in final </w:t>
            </w:r>
            <w:r w:rsidR="00DE4CDE">
              <w:rPr>
                <w:rFonts w:ascii="Calibri" w:hAnsi="Calibri" w:cs="Calibri"/>
                <w:color w:val="000000"/>
              </w:rPr>
              <w:t>Nemitz et al. (2025)</w:t>
            </w:r>
          </w:p>
        </w:tc>
        <w:tc>
          <w:tcPr>
            <w:tcW w:w="1533" w:type="dxa"/>
            <w:vAlign w:val="bottom"/>
          </w:tcPr>
          <w:p w14:paraId="5EED3154" w14:textId="52842580"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32DC41D9"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71AAD7D6" w14:textId="7357BBD9" w:rsidR="001E3ACB" w:rsidRPr="00190CA3" w:rsidRDefault="00FC491E" w:rsidP="00EB11D7">
            <w:pPr>
              <w:spacing w:before="80" w:after="80" w:line="264" w:lineRule="auto"/>
            </w:pPr>
            <w:proofErr w:type="spellStart"/>
            <w:r>
              <w:rPr>
                <w:rFonts w:ascii="Calibri" w:hAnsi="Calibri" w:cs="Calibri"/>
                <w:color w:val="000000"/>
              </w:rPr>
              <w:t>c</w:t>
            </w:r>
            <w:r w:rsidR="001E3ACB">
              <w:rPr>
                <w:rFonts w:ascii="Calibri" w:hAnsi="Calibri" w:cs="Calibri"/>
                <w:color w:val="000000"/>
              </w:rPr>
              <w:t>wood</w:t>
            </w:r>
            <w:proofErr w:type="spellEnd"/>
            <w:r w:rsidR="001E3ACB">
              <w:rPr>
                <w:rFonts w:ascii="Calibri" w:hAnsi="Calibri" w:cs="Calibri"/>
                <w:color w:val="000000"/>
              </w:rPr>
              <w:t xml:space="preserve"> </w:t>
            </w:r>
          </w:p>
        </w:tc>
        <w:tc>
          <w:tcPr>
            <w:tcW w:w="4820" w:type="dxa"/>
            <w:vAlign w:val="bottom"/>
          </w:tcPr>
          <w:p w14:paraId="42271A4A" w14:textId="728AFF75"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PM</w:t>
            </w:r>
            <w:r w:rsidRPr="00D72951">
              <w:rPr>
                <w:rFonts w:ascii="Calibri" w:hAnsi="Calibri" w:cs="Calibri"/>
                <w:color w:val="000000"/>
                <w:vertAlign w:val="subscript"/>
              </w:rPr>
              <w:t>2.5</w:t>
            </w:r>
            <w:r>
              <w:rPr>
                <w:rFonts w:ascii="Calibri" w:hAnsi="Calibri" w:cs="Calibri"/>
                <w:color w:val="000000"/>
              </w:rPr>
              <w:t xml:space="preserve"> concentration due to wood burning. Calculated with standard AAE.</w:t>
            </w:r>
            <w:r w:rsidR="00D72951">
              <w:rPr>
                <w:rFonts w:ascii="Calibri" w:hAnsi="Calibri" w:cs="Calibri"/>
                <w:color w:val="000000"/>
              </w:rPr>
              <w:t xml:space="preserve"> </w:t>
            </w:r>
            <w:r>
              <w:rPr>
                <w:rFonts w:ascii="Calibri" w:hAnsi="Calibri" w:cs="Calibri"/>
                <w:color w:val="000000"/>
              </w:rPr>
              <w:t xml:space="preserve">Refer to Fig 4.15 in final report </w:t>
            </w:r>
            <w:r w:rsidR="00DE4CDE">
              <w:rPr>
                <w:rFonts w:ascii="Calibri" w:hAnsi="Calibri" w:cs="Calibri"/>
                <w:color w:val="000000"/>
              </w:rPr>
              <w:t>Nemitz et al. (2025)</w:t>
            </w:r>
          </w:p>
        </w:tc>
        <w:tc>
          <w:tcPr>
            <w:tcW w:w="1533" w:type="dxa"/>
            <w:vAlign w:val="bottom"/>
          </w:tcPr>
          <w:p w14:paraId="712851EF" w14:textId="2E462A84"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081B4BA4"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46D6FDC5" w14:textId="160711DD" w:rsidR="001E3ACB" w:rsidRPr="00190CA3" w:rsidRDefault="00FC491E" w:rsidP="00EB11D7">
            <w:pPr>
              <w:spacing w:before="80" w:after="80" w:line="264" w:lineRule="auto"/>
            </w:pPr>
            <w:proofErr w:type="spellStart"/>
            <w:r>
              <w:rPr>
                <w:rFonts w:ascii="Calibri" w:hAnsi="Calibri" w:cs="Calibri"/>
                <w:color w:val="000000"/>
              </w:rPr>
              <w:t>c</w:t>
            </w:r>
            <w:r w:rsidR="001E3ACB">
              <w:rPr>
                <w:rFonts w:ascii="Calibri" w:hAnsi="Calibri" w:cs="Calibri"/>
                <w:color w:val="000000"/>
              </w:rPr>
              <w:t>wood_ss</w:t>
            </w:r>
            <w:proofErr w:type="spellEnd"/>
            <w:r w:rsidR="001E3ACB">
              <w:rPr>
                <w:rFonts w:ascii="Calibri" w:hAnsi="Calibri" w:cs="Calibri"/>
                <w:color w:val="000000"/>
              </w:rPr>
              <w:t xml:space="preserve"> </w:t>
            </w:r>
          </w:p>
        </w:tc>
        <w:tc>
          <w:tcPr>
            <w:tcW w:w="4820" w:type="dxa"/>
            <w:vAlign w:val="bottom"/>
          </w:tcPr>
          <w:p w14:paraId="40D24389" w14:textId="4853B8DA"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PM2.5 concentration due to wood burning calculated with site-specific AAE.</w:t>
            </w:r>
            <w:r w:rsidR="00FC491E">
              <w:rPr>
                <w:rFonts w:ascii="Calibri" w:hAnsi="Calibri" w:cs="Calibri"/>
                <w:color w:val="000000"/>
              </w:rPr>
              <w:t xml:space="preserve"> </w:t>
            </w:r>
            <w:r>
              <w:rPr>
                <w:rFonts w:ascii="Calibri" w:hAnsi="Calibri" w:cs="Calibri"/>
                <w:color w:val="000000"/>
              </w:rPr>
              <w:t xml:space="preserve">Refer to Fig 4.15 in final report </w:t>
            </w:r>
            <w:r w:rsidR="00DE4CDE">
              <w:rPr>
                <w:rFonts w:ascii="Calibri" w:hAnsi="Calibri" w:cs="Calibri"/>
                <w:color w:val="000000"/>
              </w:rPr>
              <w:t>Nemitz et al. (2025)</w:t>
            </w:r>
          </w:p>
        </w:tc>
        <w:tc>
          <w:tcPr>
            <w:tcW w:w="1533" w:type="dxa"/>
            <w:vAlign w:val="bottom"/>
          </w:tcPr>
          <w:p w14:paraId="5D75B7DC" w14:textId="43D70D82"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18F3D071"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1A318874" w14:textId="7CFF0D34" w:rsidR="001E3ACB" w:rsidRPr="00190CA3" w:rsidRDefault="00FC491E" w:rsidP="00EB11D7">
            <w:pPr>
              <w:spacing w:before="80" w:after="80" w:line="264" w:lineRule="auto"/>
            </w:pPr>
            <w:proofErr w:type="spellStart"/>
            <w:r>
              <w:rPr>
                <w:rFonts w:ascii="Calibri" w:hAnsi="Calibri" w:cs="Calibri"/>
                <w:color w:val="000000"/>
              </w:rPr>
              <w:lastRenderedPageBreak/>
              <w:t>c</w:t>
            </w:r>
            <w:r w:rsidR="001E3ACB">
              <w:rPr>
                <w:rFonts w:ascii="Calibri" w:hAnsi="Calibri" w:cs="Calibri"/>
                <w:color w:val="000000"/>
              </w:rPr>
              <w:t>wood_mid</w:t>
            </w:r>
            <w:proofErr w:type="spellEnd"/>
            <w:r w:rsidR="001E3ACB">
              <w:rPr>
                <w:rFonts w:ascii="Calibri" w:hAnsi="Calibri" w:cs="Calibri"/>
                <w:color w:val="000000"/>
              </w:rPr>
              <w:t xml:space="preserve"> </w:t>
            </w:r>
          </w:p>
        </w:tc>
        <w:tc>
          <w:tcPr>
            <w:tcW w:w="4820" w:type="dxa"/>
            <w:vAlign w:val="bottom"/>
          </w:tcPr>
          <w:p w14:paraId="794C949E" w14:textId="1B1A28C4"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PM2.5 concentration due to wood burning. Calculated with a mid-value AAE.</w:t>
            </w:r>
            <w:r w:rsidR="00FC491E">
              <w:rPr>
                <w:rFonts w:ascii="Calibri" w:hAnsi="Calibri" w:cs="Calibri"/>
                <w:color w:val="000000"/>
              </w:rPr>
              <w:t xml:space="preserve"> </w:t>
            </w:r>
            <w:r>
              <w:rPr>
                <w:rFonts w:ascii="Calibri" w:hAnsi="Calibri" w:cs="Calibri"/>
                <w:color w:val="000000"/>
              </w:rPr>
              <w:t xml:space="preserve">Refer to Fig 4.15 in final report </w:t>
            </w:r>
            <w:r w:rsidR="00DE4CDE">
              <w:rPr>
                <w:rFonts w:ascii="Calibri" w:hAnsi="Calibri" w:cs="Calibri"/>
                <w:color w:val="000000"/>
              </w:rPr>
              <w:t>Nemitz et al. (2025)</w:t>
            </w:r>
          </w:p>
        </w:tc>
        <w:tc>
          <w:tcPr>
            <w:tcW w:w="1533" w:type="dxa"/>
            <w:vAlign w:val="bottom"/>
          </w:tcPr>
          <w:p w14:paraId="09EE605F" w14:textId="7CE17F3A"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bookmarkEnd w:id="2"/>
      <w:tr w:rsidR="001E3ACB" w:rsidRPr="00190CA3" w14:paraId="75F4F376"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C902DCE" w14:textId="77777777" w:rsidR="001E3ACB" w:rsidRPr="00190CA3" w:rsidRDefault="001E3ACB" w:rsidP="00EB11D7">
            <w:pPr>
              <w:spacing w:before="80" w:after="80" w:line="264" w:lineRule="auto"/>
            </w:pPr>
            <w:r>
              <w:rPr>
                <w:rFonts w:ascii="Calibri" w:hAnsi="Calibri" w:cs="Calibri"/>
                <w:color w:val="000000"/>
              </w:rPr>
              <w:t xml:space="preserve">HOA </w:t>
            </w:r>
          </w:p>
        </w:tc>
        <w:tc>
          <w:tcPr>
            <w:tcW w:w="4820" w:type="dxa"/>
            <w:vAlign w:val="bottom"/>
          </w:tcPr>
          <w:p w14:paraId="223A1EDD"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Hydrocarbon-like organic aerosol </w:t>
            </w:r>
          </w:p>
        </w:tc>
        <w:tc>
          <w:tcPr>
            <w:tcW w:w="1533" w:type="dxa"/>
            <w:vAlign w:val="bottom"/>
          </w:tcPr>
          <w:p w14:paraId="2ABED4C3" w14:textId="6FD83829"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5B006D53"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12CDFAA" w14:textId="77777777" w:rsidR="001E3ACB" w:rsidRPr="00190CA3" w:rsidRDefault="001E3ACB" w:rsidP="00EB11D7">
            <w:pPr>
              <w:spacing w:before="80" w:after="80" w:line="264" w:lineRule="auto"/>
            </w:pPr>
            <w:r>
              <w:rPr>
                <w:rFonts w:ascii="Calibri" w:hAnsi="Calibri" w:cs="Calibri"/>
                <w:color w:val="000000"/>
              </w:rPr>
              <w:t xml:space="preserve">BBOA </w:t>
            </w:r>
          </w:p>
        </w:tc>
        <w:tc>
          <w:tcPr>
            <w:tcW w:w="4820" w:type="dxa"/>
            <w:vAlign w:val="bottom"/>
          </w:tcPr>
          <w:p w14:paraId="418D68E1" w14:textId="4F39D47A"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Solid fuel organic aerosol </w:t>
            </w:r>
          </w:p>
        </w:tc>
        <w:tc>
          <w:tcPr>
            <w:tcW w:w="1533" w:type="dxa"/>
            <w:vAlign w:val="bottom"/>
          </w:tcPr>
          <w:p w14:paraId="68FD5DB2" w14:textId="0203C0D1"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2240F2E0"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A6EE610" w14:textId="77777777" w:rsidR="001E3ACB" w:rsidRPr="00190CA3" w:rsidRDefault="001E3ACB" w:rsidP="00EB11D7">
            <w:pPr>
              <w:spacing w:before="80" w:after="80" w:line="264" w:lineRule="auto"/>
            </w:pPr>
            <w:r>
              <w:rPr>
                <w:rFonts w:ascii="Calibri" w:hAnsi="Calibri" w:cs="Calibri"/>
                <w:color w:val="000000"/>
              </w:rPr>
              <w:t xml:space="preserve">COA </w:t>
            </w:r>
          </w:p>
        </w:tc>
        <w:tc>
          <w:tcPr>
            <w:tcW w:w="4820" w:type="dxa"/>
            <w:vAlign w:val="bottom"/>
          </w:tcPr>
          <w:p w14:paraId="4B7CD6A4" w14:textId="247C9A09" w:rsidR="001E3ACB" w:rsidRPr="00190CA3" w:rsidRDefault="00AE6AE9"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w:t>
            </w:r>
            <w:r w:rsidR="001E3ACB">
              <w:rPr>
                <w:rFonts w:ascii="Calibri" w:hAnsi="Calibri" w:cs="Calibri"/>
                <w:color w:val="000000"/>
              </w:rPr>
              <w:t xml:space="preserve">ooking organic aerosol </w:t>
            </w:r>
          </w:p>
        </w:tc>
        <w:tc>
          <w:tcPr>
            <w:tcW w:w="1533" w:type="dxa"/>
            <w:vAlign w:val="bottom"/>
          </w:tcPr>
          <w:p w14:paraId="0F4341D3" w14:textId="1C5EB409"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0F97E018"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0B25032" w14:textId="77777777" w:rsidR="001E3ACB" w:rsidRPr="00190CA3" w:rsidRDefault="001E3ACB" w:rsidP="00EB11D7">
            <w:pPr>
              <w:spacing w:before="80" w:after="80" w:line="264" w:lineRule="auto"/>
            </w:pPr>
            <w:r>
              <w:rPr>
                <w:rFonts w:ascii="Calibri" w:hAnsi="Calibri" w:cs="Calibri"/>
                <w:color w:val="000000"/>
              </w:rPr>
              <w:t xml:space="preserve">MO-OOA </w:t>
            </w:r>
          </w:p>
        </w:tc>
        <w:tc>
          <w:tcPr>
            <w:tcW w:w="4820" w:type="dxa"/>
            <w:vAlign w:val="bottom"/>
          </w:tcPr>
          <w:p w14:paraId="43BB5951" w14:textId="134A00BF" w:rsidR="001E3ACB" w:rsidRPr="00190CA3" w:rsidRDefault="00AE6AE9"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w:t>
            </w:r>
            <w:r w:rsidR="001E3ACB">
              <w:rPr>
                <w:rFonts w:ascii="Calibri" w:hAnsi="Calibri" w:cs="Calibri"/>
                <w:color w:val="000000"/>
              </w:rPr>
              <w:t xml:space="preserve">ore oxidised Oxygenated organic aerosol </w:t>
            </w:r>
          </w:p>
        </w:tc>
        <w:tc>
          <w:tcPr>
            <w:tcW w:w="1533" w:type="dxa"/>
            <w:vAlign w:val="bottom"/>
          </w:tcPr>
          <w:p w14:paraId="055E5963" w14:textId="037053DF"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2642E212"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07CA3E0" w14:textId="77777777" w:rsidR="001E3ACB" w:rsidRPr="00190CA3" w:rsidRDefault="001E3ACB" w:rsidP="00EB11D7">
            <w:pPr>
              <w:spacing w:before="80" w:after="80" w:line="264" w:lineRule="auto"/>
            </w:pPr>
            <w:r>
              <w:rPr>
                <w:rFonts w:ascii="Calibri" w:hAnsi="Calibri" w:cs="Calibri"/>
                <w:color w:val="000000"/>
              </w:rPr>
              <w:t xml:space="preserve">LO-OOA </w:t>
            </w:r>
          </w:p>
        </w:tc>
        <w:tc>
          <w:tcPr>
            <w:tcW w:w="4820" w:type="dxa"/>
            <w:vAlign w:val="bottom"/>
          </w:tcPr>
          <w:p w14:paraId="58A7BA31" w14:textId="11A1789D" w:rsidR="001E3ACB" w:rsidRPr="00190CA3" w:rsidRDefault="00AE6AE9"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L</w:t>
            </w:r>
            <w:r w:rsidR="001E3ACB">
              <w:rPr>
                <w:rFonts w:ascii="Calibri" w:hAnsi="Calibri" w:cs="Calibri"/>
                <w:color w:val="000000"/>
              </w:rPr>
              <w:t>ess oxidised Oxygenated organic aerosol</w:t>
            </w:r>
          </w:p>
        </w:tc>
        <w:tc>
          <w:tcPr>
            <w:tcW w:w="1533" w:type="dxa"/>
            <w:vAlign w:val="bottom"/>
          </w:tcPr>
          <w:p w14:paraId="359EC045" w14:textId="6DB2EE92" w:rsidR="001E3ACB" w:rsidRPr="00190CA3" w:rsidRDefault="00D72951" w:rsidP="00D72951">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7C84A0E9"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6EE79F8F" w14:textId="77777777" w:rsidR="001E3ACB" w:rsidRPr="00190CA3" w:rsidRDefault="001E3ACB" w:rsidP="00EB11D7">
            <w:pPr>
              <w:spacing w:before="80" w:after="80" w:line="264" w:lineRule="auto"/>
            </w:pPr>
            <w:r>
              <w:rPr>
                <w:rFonts w:ascii="Calibri" w:hAnsi="Calibri" w:cs="Calibri"/>
                <w:color w:val="000000"/>
              </w:rPr>
              <w:t>PM1</w:t>
            </w:r>
          </w:p>
        </w:tc>
        <w:tc>
          <w:tcPr>
            <w:tcW w:w="4820" w:type="dxa"/>
            <w:vAlign w:val="bottom"/>
          </w:tcPr>
          <w:p w14:paraId="46E114AE" w14:textId="228AB7DB" w:rsidR="001E3ACB" w:rsidRPr="00190CA3" w:rsidRDefault="00AE6AE9"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w:t>
            </w:r>
            <w:r w:rsidR="001E3ACB">
              <w:rPr>
                <w:rFonts w:ascii="Calibri" w:hAnsi="Calibri" w:cs="Calibri"/>
                <w:color w:val="000000"/>
              </w:rPr>
              <w:t>ass concentration in PM</w:t>
            </w:r>
            <w:r w:rsidR="001E3ACB" w:rsidRPr="00FC491E">
              <w:rPr>
                <w:rFonts w:ascii="Calibri" w:hAnsi="Calibri" w:cs="Calibri"/>
                <w:color w:val="000000"/>
                <w:vertAlign w:val="subscript"/>
              </w:rPr>
              <w:t>1</w:t>
            </w:r>
            <w:r w:rsidR="001E3ACB">
              <w:rPr>
                <w:rFonts w:ascii="Calibri" w:hAnsi="Calibri" w:cs="Calibri"/>
                <w:color w:val="000000"/>
              </w:rPr>
              <w:t xml:space="preserve"> size</w:t>
            </w:r>
            <w:r w:rsidR="00FC491E">
              <w:rPr>
                <w:rFonts w:ascii="Calibri" w:hAnsi="Calibri" w:cs="Calibri"/>
                <w:color w:val="000000"/>
              </w:rPr>
              <w:t xml:space="preserve"> (aerodynamic diameter &lt; 1 </w:t>
            </w:r>
            <w:r w:rsidR="00FC491E" w:rsidRPr="00D72951">
              <w:rPr>
                <w:rFonts w:cstheme="minorHAnsi"/>
              </w:rPr>
              <w:t>µ</w:t>
            </w:r>
            <w:r w:rsidR="00FC491E">
              <w:rPr>
                <w:rFonts w:cstheme="minorHAnsi"/>
              </w:rPr>
              <w:t>m)</w:t>
            </w:r>
          </w:p>
        </w:tc>
        <w:tc>
          <w:tcPr>
            <w:tcW w:w="1533" w:type="dxa"/>
            <w:vAlign w:val="bottom"/>
          </w:tcPr>
          <w:p w14:paraId="43E3280F" w14:textId="714F37C9"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30E2F729"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071E0635" w14:textId="77777777" w:rsidR="001E3ACB" w:rsidRPr="00190CA3" w:rsidRDefault="001E3ACB" w:rsidP="00EB11D7">
            <w:pPr>
              <w:spacing w:before="80" w:after="80" w:line="264" w:lineRule="auto"/>
            </w:pPr>
            <w:r>
              <w:rPr>
                <w:rFonts w:ascii="Calibri" w:hAnsi="Calibri" w:cs="Calibri"/>
                <w:color w:val="000000"/>
              </w:rPr>
              <w:t xml:space="preserve">PM2.5 </w:t>
            </w:r>
          </w:p>
        </w:tc>
        <w:tc>
          <w:tcPr>
            <w:tcW w:w="4820" w:type="dxa"/>
            <w:vAlign w:val="bottom"/>
          </w:tcPr>
          <w:p w14:paraId="25E0C099" w14:textId="7788D4D9" w:rsidR="001E3ACB" w:rsidRPr="00190CA3" w:rsidRDefault="00AE6AE9"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w:t>
            </w:r>
            <w:r w:rsidR="001E3ACB">
              <w:rPr>
                <w:rFonts w:ascii="Calibri" w:hAnsi="Calibri" w:cs="Calibri"/>
                <w:color w:val="000000"/>
              </w:rPr>
              <w:t>ass concentration in PM</w:t>
            </w:r>
            <w:r w:rsidR="001E3ACB" w:rsidRPr="00FC491E">
              <w:rPr>
                <w:rFonts w:ascii="Calibri" w:hAnsi="Calibri" w:cs="Calibri"/>
                <w:color w:val="000000"/>
                <w:vertAlign w:val="subscript"/>
              </w:rPr>
              <w:t>2.5</w:t>
            </w:r>
            <w:r w:rsidR="001E3ACB">
              <w:rPr>
                <w:rFonts w:ascii="Calibri" w:hAnsi="Calibri" w:cs="Calibri"/>
                <w:color w:val="000000"/>
              </w:rPr>
              <w:t xml:space="preserve"> size </w:t>
            </w:r>
            <w:r w:rsidR="00FC491E">
              <w:rPr>
                <w:rFonts w:ascii="Calibri" w:hAnsi="Calibri" w:cs="Calibri"/>
                <w:color w:val="000000"/>
              </w:rPr>
              <w:t xml:space="preserve">(aerodynamic diameter &lt; 2.5 </w:t>
            </w:r>
            <w:r w:rsidR="00FC491E" w:rsidRPr="00D72951">
              <w:rPr>
                <w:rFonts w:cstheme="minorHAnsi"/>
              </w:rPr>
              <w:t>µ</w:t>
            </w:r>
            <w:r w:rsidR="00FC491E">
              <w:rPr>
                <w:rFonts w:cstheme="minorHAnsi"/>
              </w:rPr>
              <w:t>m)</w:t>
            </w:r>
          </w:p>
        </w:tc>
        <w:tc>
          <w:tcPr>
            <w:tcW w:w="1533" w:type="dxa"/>
            <w:vAlign w:val="bottom"/>
          </w:tcPr>
          <w:p w14:paraId="3A4980E7" w14:textId="59D9890A"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2F88E721"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0E30A030" w14:textId="77777777" w:rsidR="001E3ACB" w:rsidRPr="00190CA3" w:rsidRDefault="001E3ACB" w:rsidP="00EB11D7">
            <w:pPr>
              <w:spacing w:before="80" w:after="80" w:line="264" w:lineRule="auto"/>
            </w:pPr>
            <w:r>
              <w:rPr>
                <w:rFonts w:ascii="Calibri" w:hAnsi="Calibri" w:cs="Calibri"/>
                <w:color w:val="000000"/>
              </w:rPr>
              <w:t xml:space="preserve">NOx </w:t>
            </w:r>
          </w:p>
        </w:tc>
        <w:tc>
          <w:tcPr>
            <w:tcW w:w="4820" w:type="dxa"/>
            <w:vAlign w:val="bottom"/>
          </w:tcPr>
          <w:p w14:paraId="7A7DFF11" w14:textId="5AE357A2" w:rsidR="001E3ACB" w:rsidRPr="00190CA3" w:rsidRDefault="00FC491E"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N</w:t>
            </w:r>
            <w:r w:rsidR="001E3ACB">
              <w:rPr>
                <w:rFonts w:ascii="Calibri" w:hAnsi="Calibri" w:cs="Calibri"/>
                <w:color w:val="000000"/>
              </w:rPr>
              <w:t>itrogen oxides</w:t>
            </w:r>
            <w:r>
              <w:rPr>
                <w:rFonts w:ascii="Calibri" w:hAnsi="Calibri" w:cs="Calibri"/>
                <w:color w:val="000000"/>
              </w:rPr>
              <w:t xml:space="preserve"> (sum of NO</w:t>
            </w:r>
            <w:r w:rsidRPr="00FC491E">
              <w:rPr>
                <w:rFonts w:ascii="Calibri" w:hAnsi="Calibri" w:cs="Calibri"/>
                <w:color w:val="000000"/>
                <w:vertAlign w:val="subscript"/>
              </w:rPr>
              <w:t>2</w:t>
            </w:r>
            <w:r>
              <w:rPr>
                <w:rFonts w:ascii="Calibri" w:hAnsi="Calibri" w:cs="Calibri"/>
                <w:color w:val="000000"/>
              </w:rPr>
              <w:t xml:space="preserve"> and </w:t>
            </w:r>
            <w:r w:rsidRPr="00AE6AE9">
              <w:rPr>
                <w:rFonts w:ascii="Calibri" w:hAnsi="Calibri" w:cs="Calibri"/>
                <w:color w:val="000000"/>
              </w:rPr>
              <w:t>NO) as NO</w:t>
            </w:r>
            <w:r w:rsidRPr="00AE6AE9">
              <w:rPr>
                <w:rFonts w:ascii="Calibri" w:hAnsi="Calibri" w:cs="Calibri"/>
                <w:color w:val="000000"/>
                <w:vertAlign w:val="subscript"/>
              </w:rPr>
              <w:t>2</w:t>
            </w:r>
          </w:p>
        </w:tc>
        <w:tc>
          <w:tcPr>
            <w:tcW w:w="1533" w:type="dxa"/>
            <w:vAlign w:val="bottom"/>
          </w:tcPr>
          <w:p w14:paraId="4EAF20C4" w14:textId="6FA1E0ED"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0B5F170E"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217B45B" w14:textId="77777777" w:rsidR="001E3ACB" w:rsidRPr="00190CA3" w:rsidRDefault="001E3ACB" w:rsidP="00EB11D7">
            <w:pPr>
              <w:spacing w:before="80" w:after="80" w:line="264" w:lineRule="auto"/>
            </w:pPr>
            <w:r>
              <w:rPr>
                <w:rFonts w:ascii="Calibri" w:hAnsi="Calibri" w:cs="Calibri"/>
                <w:color w:val="000000"/>
              </w:rPr>
              <w:t xml:space="preserve">CO </w:t>
            </w:r>
          </w:p>
        </w:tc>
        <w:tc>
          <w:tcPr>
            <w:tcW w:w="4820" w:type="dxa"/>
            <w:vAlign w:val="bottom"/>
          </w:tcPr>
          <w:p w14:paraId="526ED8F4"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Carbon monoxide  </w:t>
            </w:r>
          </w:p>
        </w:tc>
        <w:tc>
          <w:tcPr>
            <w:tcW w:w="1533" w:type="dxa"/>
            <w:vAlign w:val="bottom"/>
          </w:tcPr>
          <w:p w14:paraId="0185F6F0"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mg m</w:t>
            </w:r>
            <w:r w:rsidRPr="00D72951">
              <w:rPr>
                <w:rFonts w:ascii="Calibri" w:hAnsi="Calibri" w:cs="Calibri"/>
                <w:color w:val="000000"/>
                <w:vertAlign w:val="superscript"/>
              </w:rPr>
              <w:t>-3</w:t>
            </w:r>
            <w:r>
              <w:rPr>
                <w:rFonts w:ascii="Calibri" w:hAnsi="Calibri" w:cs="Calibri"/>
                <w:color w:val="000000"/>
              </w:rPr>
              <w:t xml:space="preserve"> </w:t>
            </w:r>
          </w:p>
        </w:tc>
      </w:tr>
      <w:tr w:rsidR="001E3ACB" w:rsidRPr="00190CA3" w14:paraId="17823C7D"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5A041A99" w14:textId="77777777" w:rsidR="001E3ACB" w:rsidRPr="00190CA3" w:rsidRDefault="001E3ACB" w:rsidP="00EB11D7">
            <w:pPr>
              <w:spacing w:before="80" w:after="80" w:line="264" w:lineRule="auto"/>
            </w:pPr>
            <w:r>
              <w:rPr>
                <w:rFonts w:ascii="Calibri" w:hAnsi="Calibri" w:cs="Calibri"/>
                <w:color w:val="000000"/>
              </w:rPr>
              <w:t xml:space="preserve">CO2 </w:t>
            </w:r>
          </w:p>
        </w:tc>
        <w:tc>
          <w:tcPr>
            <w:tcW w:w="4820" w:type="dxa"/>
            <w:vAlign w:val="bottom"/>
          </w:tcPr>
          <w:p w14:paraId="6A7D52DB"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Carbon dioxide</w:t>
            </w:r>
          </w:p>
        </w:tc>
        <w:tc>
          <w:tcPr>
            <w:tcW w:w="1533" w:type="dxa"/>
            <w:vAlign w:val="bottom"/>
          </w:tcPr>
          <w:p w14:paraId="64E09A09"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ppm </w:t>
            </w:r>
          </w:p>
        </w:tc>
      </w:tr>
      <w:tr w:rsidR="001E3ACB" w:rsidRPr="00190CA3" w14:paraId="140C398F"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7A574C7E" w14:textId="77777777" w:rsidR="001E3ACB" w:rsidRPr="00190CA3" w:rsidRDefault="001E3ACB" w:rsidP="00EB11D7">
            <w:pPr>
              <w:spacing w:before="80" w:after="80" w:line="264" w:lineRule="auto"/>
            </w:pPr>
            <w:r>
              <w:rPr>
                <w:rFonts w:ascii="Calibri" w:hAnsi="Calibri" w:cs="Calibri"/>
                <w:color w:val="000000"/>
              </w:rPr>
              <w:t>CH4</w:t>
            </w:r>
          </w:p>
        </w:tc>
        <w:tc>
          <w:tcPr>
            <w:tcW w:w="4820" w:type="dxa"/>
            <w:vAlign w:val="bottom"/>
          </w:tcPr>
          <w:p w14:paraId="021E69C0"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Methane</w:t>
            </w:r>
          </w:p>
        </w:tc>
        <w:tc>
          <w:tcPr>
            <w:tcW w:w="1533" w:type="dxa"/>
            <w:vAlign w:val="bottom"/>
          </w:tcPr>
          <w:p w14:paraId="63CB947C"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ppb</w:t>
            </w:r>
          </w:p>
        </w:tc>
      </w:tr>
      <w:tr w:rsidR="001E3ACB" w:rsidRPr="00190CA3" w14:paraId="3F123D1D"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408EBA1" w14:textId="77777777" w:rsidR="001E3ACB" w:rsidRPr="00190CA3" w:rsidRDefault="001E3ACB" w:rsidP="00EB11D7">
            <w:pPr>
              <w:spacing w:before="80" w:after="80" w:line="264" w:lineRule="auto"/>
            </w:pPr>
            <w:r>
              <w:rPr>
                <w:rFonts w:ascii="Calibri" w:hAnsi="Calibri" w:cs="Calibri"/>
                <w:color w:val="000000"/>
              </w:rPr>
              <w:t>O3</w:t>
            </w:r>
          </w:p>
        </w:tc>
        <w:tc>
          <w:tcPr>
            <w:tcW w:w="4820" w:type="dxa"/>
            <w:vAlign w:val="bottom"/>
          </w:tcPr>
          <w:p w14:paraId="554460AB"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Ozone </w:t>
            </w:r>
          </w:p>
        </w:tc>
        <w:tc>
          <w:tcPr>
            <w:tcW w:w="1533" w:type="dxa"/>
            <w:vAlign w:val="bottom"/>
          </w:tcPr>
          <w:p w14:paraId="3B3D7084" w14:textId="74BE32B0" w:rsidR="001E3ACB" w:rsidRPr="00190CA3" w:rsidRDefault="00D72951"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7EA99095"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39BF4E1D" w14:textId="77777777" w:rsidR="001E3ACB" w:rsidRPr="00190CA3" w:rsidRDefault="001E3ACB" w:rsidP="00EB11D7">
            <w:pPr>
              <w:spacing w:before="80" w:after="80" w:line="264" w:lineRule="auto"/>
            </w:pPr>
            <w:r>
              <w:rPr>
                <w:rFonts w:ascii="Calibri" w:hAnsi="Calibri" w:cs="Calibri"/>
                <w:color w:val="000000"/>
              </w:rPr>
              <w:t xml:space="preserve"> T </w:t>
            </w:r>
          </w:p>
        </w:tc>
        <w:tc>
          <w:tcPr>
            <w:tcW w:w="4820" w:type="dxa"/>
            <w:vAlign w:val="bottom"/>
          </w:tcPr>
          <w:p w14:paraId="7B247A6F"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Temperature </w:t>
            </w:r>
          </w:p>
        </w:tc>
        <w:tc>
          <w:tcPr>
            <w:tcW w:w="1533" w:type="dxa"/>
            <w:vAlign w:val="bottom"/>
          </w:tcPr>
          <w:p w14:paraId="4179F49A"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Aptos Narrow" w:hAnsi="Aptos Narrow" w:cs="Calibri"/>
                <w:color w:val="000000"/>
              </w:rPr>
              <w:t>°C</w:t>
            </w:r>
          </w:p>
        </w:tc>
      </w:tr>
      <w:tr w:rsidR="001E3ACB" w:rsidRPr="00190CA3" w14:paraId="2A8B90AD"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4A1C9FC3" w14:textId="77777777" w:rsidR="001E3ACB" w:rsidRPr="00190CA3" w:rsidRDefault="001E3ACB" w:rsidP="00EB11D7">
            <w:pPr>
              <w:spacing w:before="80" w:after="80" w:line="264" w:lineRule="auto"/>
            </w:pPr>
            <w:proofErr w:type="spellStart"/>
            <w:r>
              <w:rPr>
                <w:rFonts w:ascii="Calibri" w:hAnsi="Calibri" w:cs="Calibri"/>
                <w:color w:val="000000"/>
              </w:rPr>
              <w:t>wspeed</w:t>
            </w:r>
            <w:proofErr w:type="spellEnd"/>
            <w:r>
              <w:rPr>
                <w:rFonts w:ascii="Calibri" w:hAnsi="Calibri" w:cs="Calibri"/>
                <w:color w:val="000000"/>
              </w:rPr>
              <w:t xml:space="preserve"> </w:t>
            </w:r>
          </w:p>
        </w:tc>
        <w:tc>
          <w:tcPr>
            <w:tcW w:w="4820" w:type="dxa"/>
            <w:vAlign w:val="bottom"/>
          </w:tcPr>
          <w:p w14:paraId="4729CA97"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wind speed </w:t>
            </w:r>
          </w:p>
        </w:tc>
        <w:tc>
          <w:tcPr>
            <w:tcW w:w="1533" w:type="dxa"/>
            <w:vAlign w:val="bottom"/>
          </w:tcPr>
          <w:p w14:paraId="294DD906"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m s</w:t>
            </w:r>
            <w:r w:rsidRPr="00D72951">
              <w:rPr>
                <w:rFonts w:ascii="Calibri" w:hAnsi="Calibri" w:cs="Calibri"/>
                <w:color w:val="000000"/>
                <w:vertAlign w:val="superscript"/>
              </w:rPr>
              <w:t>-1</w:t>
            </w:r>
          </w:p>
        </w:tc>
      </w:tr>
      <w:tr w:rsidR="001E3ACB" w:rsidRPr="00190CA3" w14:paraId="1FED2F61" w14:textId="77777777" w:rsidTr="00CD23D9">
        <w:trPr>
          <w:cantSplit/>
          <w:trHeight w:val="257"/>
        </w:trPr>
        <w:tc>
          <w:tcPr>
            <w:cnfStyle w:val="001000000000" w:firstRow="0" w:lastRow="0" w:firstColumn="1" w:lastColumn="0" w:oddVBand="0" w:evenVBand="0" w:oddHBand="0" w:evenHBand="0" w:firstRowFirstColumn="0" w:firstRowLastColumn="0" w:lastRowFirstColumn="0" w:lastRowLastColumn="0"/>
            <w:tcW w:w="2830" w:type="dxa"/>
            <w:vAlign w:val="bottom"/>
          </w:tcPr>
          <w:p w14:paraId="4739F9FD" w14:textId="77777777" w:rsidR="001E3ACB" w:rsidRPr="00190CA3" w:rsidRDefault="001E3ACB" w:rsidP="00EB11D7">
            <w:pPr>
              <w:spacing w:before="80" w:after="80" w:line="264" w:lineRule="auto"/>
            </w:pPr>
            <w:proofErr w:type="spellStart"/>
            <w:r>
              <w:rPr>
                <w:rFonts w:ascii="Calibri" w:hAnsi="Calibri" w:cs="Calibri"/>
                <w:color w:val="000000"/>
              </w:rPr>
              <w:t>wdirection</w:t>
            </w:r>
            <w:proofErr w:type="spellEnd"/>
            <w:r>
              <w:rPr>
                <w:rFonts w:ascii="Calibri" w:hAnsi="Calibri" w:cs="Calibri"/>
                <w:color w:val="000000"/>
              </w:rPr>
              <w:t xml:space="preserve"> </w:t>
            </w:r>
          </w:p>
        </w:tc>
        <w:tc>
          <w:tcPr>
            <w:tcW w:w="4820" w:type="dxa"/>
            <w:vAlign w:val="bottom"/>
          </w:tcPr>
          <w:p w14:paraId="16384125" w14:textId="426BFB4E"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wind </w:t>
            </w:r>
            <w:r w:rsidRPr="00AE6AE9">
              <w:rPr>
                <w:rFonts w:ascii="Calibri" w:hAnsi="Calibri" w:cs="Calibri"/>
                <w:color w:val="000000"/>
              </w:rPr>
              <w:t xml:space="preserve">direction </w:t>
            </w:r>
            <w:r w:rsidR="00D72951" w:rsidRPr="00AE6AE9">
              <w:rPr>
                <w:rFonts w:ascii="Calibri" w:hAnsi="Calibri" w:cs="Calibri"/>
                <w:color w:val="000000"/>
              </w:rPr>
              <w:t>(degrees from north)</w:t>
            </w:r>
          </w:p>
        </w:tc>
        <w:tc>
          <w:tcPr>
            <w:tcW w:w="1533" w:type="dxa"/>
            <w:vAlign w:val="bottom"/>
          </w:tcPr>
          <w:p w14:paraId="0727E0F1" w14:textId="77777777" w:rsidR="001E3ACB" w:rsidRPr="00190CA3" w:rsidRDefault="001E3ACB" w:rsidP="00EB11D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rPr>
                <w:rFonts w:ascii="Aptos Narrow" w:hAnsi="Aptos Narrow" w:cs="Calibri"/>
                <w:color w:val="000000"/>
              </w:rPr>
              <w:t>Deg</w:t>
            </w:r>
            <w:proofErr w:type="spellEnd"/>
            <w:r>
              <w:rPr>
                <w:rFonts w:ascii="Aptos Narrow" w:hAnsi="Aptos Narrow" w:cs="Calibri"/>
                <w:color w:val="000000"/>
              </w:rPr>
              <w:t xml:space="preserve"> °</w:t>
            </w:r>
          </w:p>
        </w:tc>
      </w:tr>
    </w:tbl>
    <w:p w14:paraId="52D6BBB5" w14:textId="396E9D98" w:rsidR="001E3ACB" w:rsidRPr="00190CA3" w:rsidRDefault="001E3ACB" w:rsidP="001E3ACB">
      <w:pPr>
        <w:pStyle w:val="Captionabove"/>
        <w:rPr>
          <w:i/>
          <w:iCs/>
        </w:rPr>
      </w:pPr>
      <w:bookmarkStart w:id="3" w:name="_Toc167878273"/>
      <w:r w:rsidRPr="00190CA3">
        <w:t xml:space="preserve">Table </w:t>
      </w:r>
      <w:r>
        <w:rPr>
          <w:i/>
          <w:iCs/>
        </w:rPr>
        <w:t>2</w:t>
      </w:r>
      <w:r w:rsidRPr="00190CA3">
        <w:t>. Description of variables i</w:t>
      </w:r>
      <w:r>
        <w:t>n</w:t>
      </w:r>
      <w:r w:rsidRPr="00190CA3">
        <w:t xml:space="preserve"> </w:t>
      </w:r>
      <w:r>
        <w:t>GlasgowTownhead.csv and in Auchen</w:t>
      </w:r>
      <w:r w:rsidR="00D72951">
        <w:t>c</w:t>
      </w:r>
      <w:r>
        <w:t>orthMoss.csv</w:t>
      </w:r>
    </w:p>
    <w:tbl>
      <w:tblPr>
        <w:tblStyle w:val="GridTable1Light"/>
        <w:tblW w:w="9183" w:type="dxa"/>
        <w:tblLayout w:type="fixed"/>
        <w:tblLook w:val="06A0" w:firstRow="1" w:lastRow="0" w:firstColumn="1" w:lastColumn="0" w:noHBand="1" w:noVBand="1"/>
      </w:tblPr>
      <w:tblGrid>
        <w:gridCol w:w="2689"/>
        <w:gridCol w:w="4819"/>
        <w:gridCol w:w="1675"/>
      </w:tblGrid>
      <w:tr w:rsidR="001E3ACB" w:rsidRPr="00190CA3" w14:paraId="3B2DEBE6" w14:textId="77777777" w:rsidTr="00FC491E">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689" w:type="dxa"/>
            <w:vAlign w:val="bottom"/>
          </w:tcPr>
          <w:p w14:paraId="12EBFC4D" w14:textId="77777777" w:rsidR="001E3ACB" w:rsidRPr="00190CA3" w:rsidRDefault="001E3ACB" w:rsidP="007D7A46">
            <w:pPr>
              <w:spacing w:before="120" w:after="120" w:line="240" w:lineRule="auto"/>
            </w:pPr>
            <w:r w:rsidRPr="00190CA3">
              <w:t>Variable/Column header</w:t>
            </w:r>
          </w:p>
        </w:tc>
        <w:tc>
          <w:tcPr>
            <w:tcW w:w="4819" w:type="dxa"/>
            <w:vAlign w:val="bottom"/>
          </w:tcPr>
          <w:p w14:paraId="023ADEE2" w14:textId="77777777" w:rsidR="001E3ACB" w:rsidRPr="00190CA3" w:rsidRDefault="001E3ACB" w:rsidP="007D7A46">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675" w:type="dxa"/>
            <w:vAlign w:val="bottom"/>
          </w:tcPr>
          <w:p w14:paraId="27852D77" w14:textId="77777777" w:rsidR="001E3ACB" w:rsidRPr="00190CA3" w:rsidRDefault="001E3ACB" w:rsidP="007D7A46">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1E3ACB" w:rsidRPr="00190CA3" w14:paraId="69AFFEE6" w14:textId="77777777" w:rsidTr="00FC491E">
        <w:trPr>
          <w:cantSplit/>
          <w:trHeight w:val="304"/>
        </w:trPr>
        <w:tc>
          <w:tcPr>
            <w:cnfStyle w:val="001000000000" w:firstRow="0" w:lastRow="0" w:firstColumn="1" w:lastColumn="0" w:oddVBand="0" w:evenVBand="0" w:oddHBand="0" w:evenHBand="0" w:firstRowFirstColumn="0" w:firstRowLastColumn="0" w:lastRowFirstColumn="0" w:lastRowLastColumn="0"/>
            <w:tcW w:w="2689" w:type="dxa"/>
            <w:vAlign w:val="bottom"/>
          </w:tcPr>
          <w:p w14:paraId="6BBFB3D7" w14:textId="3C474063" w:rsidR="001E3ACB" w:rsidRPr="00630012" w:rsidRDefault="001E3ACB" w:rsidP="007D7A46">
            <w:pPr>
              <w:spacing w:before="80" w:after="80" w:line="264" w:lineRule="auto"/>
              <w:rPr>
                <w:b w:val="0"/>
                <w:bCs w:val="0"/>
                <w:i/>
                <w:iCs/>
                <w:color w:val="BFBFBF" w:themeColor="background1" w:themeShade="BF"/>
              </w:rPr>
            </w:pPr>
            <w:r>
              <w:rPr>
                <w:rFonts w:ascii="Calibri" w:hAnsi="Calibri" w:cs="Calibri"/>
                <w:color w:val="000000"/>
              </w:rPr>
              <w:t>date_2020_2024</w:t>
            </w:r>
          </w:p>
        </w:tc>
        <w:tc>
          <w:tcPr>
            <w:tcW w:w="4819" w:type="dxa"/>
            <w:vAlign w:val="bottom"/>
          </w:tcPr>
          <w:p w14:paraId="34631E6A" w14:textId="27BABA78" w:rsidR="001E3ACB" w:rsidRPr="00630012" w:rsidRDefault="001E3ACB" w:rsidP="007D7A46">
            <w:pPr>
              <w:spacing w:before="80" w:after="80" w:line="264" w:lineRule="auto"/>
              <w:cnfStyle w:val="000000000000" w:firstRow="0" w:lastRow="0" w:firstColumn="0" w:lastColumn="0" w:oddVBand="0" w:evenVBand="0" w:oddHBand="0" w:evenHBand="0" w:firstRowFirstColumn="0" w:firstRowLastColumn="0" w:lastRowFirstColumn="0" w:lastRowLastColumn="0"/>
              <w:rPr>
                <w:i/>
                <w:iCs/>
                <w:color w:val="BFBFBF" w:themeColor="background1" w:themeShade="BF"/>
              </w:rPr>
            </w:pPr>
            <w:r>
              <w:rPr>
                <w:rFonts w:ascii="Calibri" w:hAnsi="Calibri" w:cs="Calibri"/>
                <w:color w:val="000000"/>
              </w:rPr>
              <w:t xml:space="preserve">Time stamp for </w:t>
            </w:r>
            <w:r w:rsidR="004E5F70">
              <w:rPr>
                <w:rFonts w:ascii="Calibri" w:hAnsi="Calibri" w:cs="Calibri"/>
                <w:color w:val="000000"/>
              </w:rPr>
              <w:t>full</w:t>
            </w:r>
            <w:r>
              <w:rPr>
                <w:rFonts w:ascii="Calibri" w:hAnsi="Calibri" w:cs="Calibri"/>
                <w:color w:val="000000"/>
              </w:rPr>
              <w:t xml:space="preserve"> timeseries for </w:t>
            </w:r>
            <w:r w:rsidR="000F0D56">
              <w:rPr>
                <w:rFonts w:ascii="Calibri" w:hAnsi="Calibri" w:cs="Calibri"/>
                <w:color w:val="000000"/>
              </w:rPr>
              <w:t>“</w:t>
            </w:r>
            <w:proofErr w:type="spellStart"/>
            <w:r>
              <w:rPr>
                <w:rFonts w:ascii="Calibri" w:hAnsi="Calibri" w:cs="Calibri"/>
                <w:color w:val="000000"/>
              </w:rPr>
              <w:t>cwood</w:t>
            </w:r>
            <w:proofErr w:type="spellEnd"/>
            <w:r w:rsidR="000F0D56">
              <w:rPr>
                <w:rFonts w:ascii="Calibri" w:hAnsi="Calibri" w:cs="Calibri"/>
                <w:color w:val="000000"/>
              </w:rPr>
              <w:t>”</w:t>
            </w:r>
            <w:r w:rsidR="00D72951">
              <w:rPr>
                <w:rFonts w:ascii="Calibri" w:hAnsi="Calibri" w:cs="Calibri"/>
                <w:color w:val="000000"/>
              </w:rPr>
              <w:t>,</w:t>
            </w:r>
            <w:r>
              <w:rPr>
                <w:rFonts w:ascii="Calibri" w:hAnsi="Calibri" w:cs="Calibri"/>
                <w:color w:val="000000"/>
              </w:rPr>
              <w:t xml:space="preserve"> from 01/01/2020 to 31/12</w:t>
            </w:r>
            <w:r w:rsidRPr="00AE6AE9">
              <w:rPr>
                <w:rFonts w:ascii="Calibri" w:hAnsi="Calibri" w:cs="Calibri"/>
                <w:color w:val="000000"/>
              </w:rPr>
              <w:t>/2024</w:t>
            </w:r>
            <w:r w:rsidR="00CD23D9" w:rsidRPr="00AE6AE9">
              <w:rPr>
                <w:rFonts w:ascii="Calibri" w:hAnsi="Calibri" w:cs="Calibri"/>
                <w:color w:val="000000"/>
              </w:rPr>
              <w:t xml:space="preserve">, at </w:t>
            </w:r>
            <w:r w:rsidR="00AE6AE9" w:rsidRPr="00AE6AE9">
              <w:rPr>
                <w:rFonts w:ascii="Calibri" w:hAnsi="Calibri" w:cs="Calibri"/>
                <w:color w:val="000000"/>
              </w:rPr>
              <w:t xml:space="preserve">the </w:t>
            </w:r>
            <w:r w:rsidR="00CD23D9" w:rsidRPr="00AE6AE9">
              <w:rPr>
                <w:rFonts w:ascii="Calibri" w:hAnsi="Calibri" w:cs="Calibri"/>
                <w:color w:val="000000"/>
              </w:rPr>
              <w:t>beginning of each measurement period</w:t>
            </w:r>
            <w:r w:rsidR="00CD23D9">
              <w:rPr>
                <w:rFonts w:ascii="Calibri" w:hAnsi="Calibri" w:cs="Calibri"/>
                <w:color w:val="000000"/>
              </w:rPr>
              <w:t xml:space="preserve"> </w:t>
            </w:r>
          </w:p>
        </w:tc>
        <w:tc>
          <w:tcPr>
            <w:tcW w:w="1675" w:type="dxa"/>
            <w:vAlign w:val="bottom"/>
          </w:tcPr>
          <w:p w14:paraId="5992A425" w14:textId="3E68A2DB" w:rsidR="001E3ACB" w:rsidRPr="004E5F70" w:rsidRDefault="00FC491E" w:rsidP="007D7A46">
            <w:pPr>
              <w:spacing w:before="80" w:after="80" w:line="264" w:lineRule="auto"/>
              <w:cnfStyle w:val="000000000000" w:firstRow="0" w:lastRow="0" w:firstColumn="0" w:lastColumn="0" w:oddVBand="0" w:evenVBand="0" w:oddHBand="0" w:evenHBand="0" w:firstRowFirstColumn="0" w:firstRowLastColumn="0" w:lastRowFirstColumn="0" w:lastRowLastColumn="0"/>
              <w:rPr>
                <w:color w:val="BFBFBF" w:themeColor="background1" w:themeShade="BF"/>
              </w:rPr>
            </w:pPr>
            <w:r>
              <w:rPr>
                <w:rFonts w:cstheme="minorHAnsi"/>
              </w:rPr>
              <w:t>Format ‘dd/mm/</w:t>
            </w:r>
            <w:proofErr w:type="spellStart"/>
            <w:r>
              <w:rPr>
                <w:rFonts w:cstheme="minorHAnsi"/>
              </w:rPr>
              <w:t>yyyy</w:t>
            </w:r>
            <w:proofErr w:type="spellEnd"/>
            <w:r>
              <w:rPr>
                <w:rFonts w:cstheme="minorHAnsi"/>
              </w:rPr>
              <w:t xml:space="preserve"> HH:MM’</w:t>
            </w:r>
          </w:p>
        </w:tc>
      </w:tr>
      <w:tr w:rsidR="001E3ACB" w:rsidRPr="00190CA3" w14:paraId="3469E33B" w14:textId="77777777" w:rsidTr="00FC491E">
        <w:trPr>
          <w:cantSplit/>
          <w:trHeight w:val="341"/>
        </w:trPr>
        <w:tc>
          <w:tcPr>
            <w:cnfStyle w:val="001000000000" w:firstRow="0" w:lastRow="0" w:firstColumn="1" w:lastColumn="0" w:oddVBand="0" w:evenVBand="0" w:oddHBand="0" w:evenHBand="0" w:firstRowFirstColumn="0" w:firstRowLastColumn="0" w:lastRowFirstColumn="0" w:lastRowLastColumn="0"/>
            <w:tcW w:w="2689" w:type="dxa"/>
            <w:vAlign w:val="bottom"/>
          </w:tcPr>
          <w:p w14:paraId="1FD2A722" w14:textId="738AEB00" w:rsidR="001E3ACB" w:rsidRPr="00190CA3" w:rsidRDefault="001E3ACB" w:rsidP="007D7A46">
            <w:pPr>
              <w:spacing w:before="80" w:after="80" w:line="264" w:lineRule="auto"/>
            </w:pPr>
            <w:proofErr w:type="spellStart"/>
            <w:r>
              <w:rPr>
                <w:rFonts w:ascii="Calibri" w:hAnsi="Calibri" w:cs="Calibri"/>
                <w:color w:val="000000"/>
              </w:rPr>
              <w:t>cwood</w:t>
            </w:r>
            <w:proofErr w:type="spellEnd"/>
          </w:p>
        </w:tc>
        <w:tc>
          <w:tcPr>
            <w:tcW w:w="4819" w:type="dxa"/>
            <w:vAlign w:val="bottom"/>
          </w:tcPr>
          <w:p w14:paraId="6F627434" w14:textId="65EA70D4" w:rsidR="001E3ACB" w:rsidRPr="00190CA3" w:rsidRDefault="001E3ACB" w:rsidP="007D7A46">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PM</w:t>
            </w:r>
            <w:r w:rsidRPr="004E5F70">
              <w:rPr>
                <w:rFonts w:ascii="Calibri" w:hAnsi="Calibri" w:cs="Calibri"/>
                <w:color w:val="000000"/>
                <w:vertAlign w:val="subscript"/>
              </w:rPr>
              <w:t>2.5</w:t>
            </w:r>
            <w:r>
              <w:rPr>
                <w:rFonts w:ascii="Calibri" w:hAnsi="Calibri" w:cs="Calibri"/>
                <w:color w:val="000000"/>
              </w:rPr>
              <w:t xml:space="preserve"> concentration due to wood burning. </w:t>
            </w:r>
          </w:p>
        </w:tc>
        <w:tc>
          <w:tcPr>
            <w:tcW w:w="1675" w:type="dxa"/>
            <w:vAlign w:val="bottom"/>
          </w:tcPr>
          <w:p w14:paraId="2F10D937" w14:textId="6AA40EFF" w:rsidR="001E3ACB" w:rsidRPr="00190CA3" w:rsidRDefault="004E5F70" w:rsidP="007D7A46">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r w:rsidR="001E3ACB" w:rsidRPr="00190CA3" w14:paraId="6BEB74E9" w14:textId="77777777" w:rsidTr="00FC491E">
        <w:trPr>
          <w:cantSplit/>
          <w:trHeight w:val="257"/>
        </w:trPr>
        <w:tc>
          <w:tcPr>
            <w:cnfStyle w:val="001000000000" w:firstRow="0" w:lastRow="0" w:firstColumn="1" w:lastColumn="0" w:oddVBand="0" w:evenVBand="0" w:oddHBand="0" w:evenHBand="0" w:firstRowFirstColumn="0" w:firstRowLastColumn="0" w:lastRowFirstColumn="0" w:lastRowLastColumn="0"/>
            <w:tcW w:w="2689" w:type="dxa"/>
            <w:vAlign w:val="bottom"/>
          </w:tcPr>
          <w:p w14:paraId="5D3F1683" w14:textId="07D2B04E" w:rsidR="001E3ACB" w:rsidRPr="00190CA3" w:rsidRDefault="001E3ACB" w:rsidP="001E3ACB">
            <w:pPr>
              <w:spacing w:before="80" w:after="80" w:line="264" w:lineRule="auto"/>
            </w:pPr>
            <w:r>
              <w:rPr>
                <w:rFonts w:ascii="Calibri" w:hAnsi="Calibri" w:cs="Calibri"/>
                <w:color w:val="000000"/>
              </w:rPr>
              <w:lastRenderedPageBreak/>
              <w:t>Date_2023</w:t>
            </w:r>
          </w:p>
        </w:tc>
        <w:tc>
          <w:tcPr>
            <w:tcW w:w="4819" w:type="dxa"/>
            <w:vAlign w:val="bottom"/>
          </w:tcPr>
          <w:p w14:paraId="584F95C0" w14:textId="195BF203" w:rsidR="001E3ACB" w:rsidRPr="00190CA3" w:rsidRDefault="001E3ACB" w:rsidP="001E3ACB">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 xml:space="preserve">Time stamp for </w:t>
            </w:r>
            <w:r w:rsidR="000F0D56">
              <w:rPr>
                <w:rFonts w:ascii="Calibri" w:hAnsi="Calibri" w:cs="Calibri"/>
                <w:color w:val="000000"/>
              </w:rPr>
              <w:t>“</w:t>
            </w:r>
            <w:proofErr w:type="spellStart"/>
            <w:r>
              <w:rPr>
                <w:rFonts w:ascii="Calibri" w:hAnsi="Calibri" w:cs="Calibri"/>
                <w:color w:val="000000"/>
              </w:rPr>
              <w:t>eBCwb</w:t>
            </w:r>
            <w:proofErr w:type="spellEnd"/>
            <w:r w:rsidR="000F0D56">
              <w:rPr>
                <w:rFonts w:ascii="Calibri" w:hAnsi="Calibri" w:cs="Calibri"/>
                <w:color w:val="000000"/>
              </w:rPr>
              <w:t>”</w:t>
            </w:r>
            <w:r w:rsidR="004E5F70">
              <w:rPr>
                <w:rFonts w:ascii="Calibri" w:hAnsi="Calibri" w:cs="Calibri"/>
                <w:color w:val="000000"/>
              </w:rPr>
              <w:t>, range</w:t>
            </w:r>
            <w:r>
              <w:rPr>
                <w:rFonts w:ascii="Calibri" w:hAnsi="Calibri" w:cs="Calibri"/>
                <w:color w:val="000000"/>
              </w:rPr>
              <w:t xml:space="preserve"> from 01/01/2023 to 31/12/2023</w:t>
            </w:r>
            <w:r w:rsidR="00CD23D9" w:rsidRPr="00AE6AE9">
              <w:rPr>
                <w:rFonts w:ascii="Calibri" w:hAnsi="Calibri" w:cs="Calibri"/>
                <w:color w:val="000000"/>
              </w:rPr>
              <w:t xml:space="preserve">, at </w:t>
            </w:r>
            <w:r w:rsidR="00AE6AE9" w:rsidRPr="00AE6AE9">
              <w:rPr>
                <w:rFonts w:ascii="Calibri" w:hAnsi="Calibri" w:cs="Calibri"/>
                <w:color w:val="000000"/>
              </w:rPr>
              <w:t xml:space="preserve">the </w:t>
            </w:r>
            <w:r w:rsidR="00CD23D9" w:rsidRPr="00AE6AE9">
              <w:rPr>
                <w:rFonts w:ascii="Calibri" w:hAnsi="Calibri" w:cs="Calibri"/>
                <w:color w:val="000000"/>
              </w:rPr>
              <w:t>beginning of each measurement period</w:t>
            </w:r>
          </w:p>
        </w:tc>
        <w:tc>
          <w:tcPr>
            <w:tcW w:w="1675" w:type="dxa"/>
            <w:vAlign w:val="bottom"/>
          </w:tcPr>
          <w:p w14:paraId="0030D1C0" w14:textId="61071E04" w:rsidR="001E3ACB" w:rsidRPr="00190CA3" w:rsidRDefault="00FC491E" w:rsidP="001E3ACB">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cstheme="minorHAnsi"/>
              </w:rPr>
              <w:t>Format ‘dd/mm/</w:t>
            </w:r>
            <w:proofErr w:type="spellStart"/>
            <w:r>
              <w:rPr>
                <w:rFonts w:cstheme="minorHAnsi"/>
              </w:rPr>
              <w:t>yyyy</w:t>
            </w:r>
            <w:proofErr w:type="spellEnd"/>
            <w:r>
              <w:rPr>
                <w:rFonts w:cstheme="minorHAnsi"/>
              </w:rPr>
              <w:t xml:space="preserve"> HH:MM’</w:t>
            </w:r>
          </w:p>
        </w:tc>
      </w:tr>
      <w:tr w:rsidR="001E3ACB" w:rsidRPr="00190CA3" w14:paraId="0DD86962" w14:textId="77777777" w:rsidTr="00FC491E">
        <w:trPr>
          <w:cantSplit/>
          <w:trHeight w:val="257"/>
        </w:trPr>
        <w:tc>
          <w:tcPr>
            <w:cnfStyle w:val="001000000000" w:firstRow="0" w:lastRow="0" w:firstColumn="1" w:lastColumn="0" w:oddVBand="0" w:evenVBand="0" w:oddHBand="0" w:evenHBand="0" w:firstRowFirstColumn="0" w:firstRowLastColumn="0" w:lastRowFirstColumn="0" w:lastRowLastColumn="0"/>
            <w:tcW w:w="2689" w:type="dxa"/>
            <w:vAlign w:val="bottom"/>
          </w:tcPr>
          <w:p w14:paraId="42F0F765" w14:textId="510774F1" w:rsidR="001E3ACB" w:rsidRPr="00190CA3" w:rsidRDefault="001E3ACB" w:rsidP="001E3ACB">
            <w:pPr>
              <w:spacing w:before="80" w:after="80" w:line="264" w:lineRule="auto"/>
            </w:pPr>
            <w:proofErr w:type="spellStart"/>
            <w:r>
              <w:rPr>
                <w:rFonts w:ascii="Calibri" w:hAnsi="Calibri" w:cs="Calibri"/>
                <w:color w:val="000000"/>
              </w:rPr>
              <w:t>eBCwb</w:t>
            </w:r>
            <w:proofErr w:type="spellEnd"/>
          </w:p>
        </w:tc>
        <w:tc>
          <w:tcPr>
            <w:tcW w:w="4819" w:type="dxa"/>
            <w:vAlign w:val="bottom"/>
          </w:tcPr>
          <w:p w14:paraId="314FC35F" w14:textId="1FFC190A" w:rsidR="001E3ACB" w:rsidRPr="00190CA3" w:rsidRDefault="001E3ACB" w:rsidP="001E3ACB">
            <w:pPr>
              <w:spacing w:before="80" w:after="80" w:line="264" w:lineRule="auto"/>
              <w:cnfStyle w:val="000000000000" w:firstRow="0" w:lastRow="0" w:firstColumn="0" w:lastColumn="0" w:oddVBand="0" w:evenVBand="0" w:oddHBand="0" w:evenHBand="0" w:firstRowFirstColumn="0" w:firstRowLastColumn="0" w:lastRowFirstColumn="0" w:lastRowLastColumn="0"/>
            </w:pPr>
            <w:r>
              <w:rPr>
                <w:rFonts w:ascii="Calibri" w:hAnsi="Calibri" w:cs="Calibri"/>
                <w:color w:val="000000"/>
              </w:rPr>
              <w:t>equivalent black carbon from wood burning with standard AAE</w:t>
            </w:r>
          </w:p>
        </w:tc>
        <w:tc>
          <w:tcPr>
            <w:tcW w:w="1675" w:type="dxa"/>
            <w:vAlign w:val="bottom"/>
          </w:tcPr>
          <w:p w14:paraId="5C06D9A5" w14:textId="60165B1D" w:rsidR="001E3ACB" w:rsidRPr="00190CA3" w:rsidRDefault="004E5F70" w:rsidP="001E3ACB">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D72951">
              <w:rPr>
                <w:rFonts w:cstheme="minorHAnsi"/>
              </w:rPr>
              <w:t>µ</w:t>
            </w:r>
            <w:r>
              <w:rPr>
                <w:rFonts w:ascii="Calibri" w:hAnsi="Calibri" w:cs="Calibri"/>
                <w:color w:val="000000"/>
              </w:rPr>
              <w:t>g m</w:t>
            </w:r>
            <w:r w:rsidRPr="00D72951">
              <w:rPr>
                <w:rFonts w:ascii="Calibri" w:hAnsi="Calibri" w:cs="Calibri"/>
                <w:color w:val="000000"/>
                <w:vertAlign w:val="superscript"/>
              </w:rPr>
              <w:t>-3</w:t>
            </w:r>
          </w:p>
        </w:tc>
      </w:tr>
    </w:tbl>
    <w:p w14:paraId="693F6E0F" w14:textId="10B77B5A" w:rsidR="001E3ACB" w:rsidRPr="005011C7" w:rsidRDefault="001E3ACB" w:rsidP="00DD36E9">
      <w:pPr>
        <w:pStyle w:val="Heading1"/>
        <w:rPr>
          <w:rFonts w:asciiTheme="minorHAnsi" w:hAnsiTheme="minorHAnsi" w:cstheme="minorHAnsi"/>
          <w:color w:val="7F7F7F" w:themeColor="text1" w:themeTint="80"/>
        </w:rPr>
      </w:pPr>
      <w:r w:rsidRPr="001B3490">
        <w:rPr>
          <w:rStyle w:val="Heading2Char"/>
          <w:sz w:val="36"/>
          <w:szCs w:val="36"/>
        </w:rPr>
        <w:t>Spatial coverage</w:t>
      </w:r>
      <w:bookmarkEnd w:id="3"/>
    </w:p>
    <w:p w14:paraId="416E1CC7" w14:textId="1F678B51" w:rsidR="001E3ACB" w:rsidRPr="0007302F" w:rsidRDefault="001E3ACB" w:rsidP="0007302F">
      <w:r w:rsidRPr="0007302F">
        <w:t>Four measurement sites are included</w:t>
      </w:r>
      <w:r w:rsidR="004E5F70">
        <w:t xml:space="preserve">, with latitude-longitude </w:t>
      </w:r>
      <w:r w:rsidR="004E5F70" w:rsidRPr="00DF2267">
        <w:t>coordinates (WGS84 datum) a</w:t>
      </w:r>
      <w:r w:rsidR="004E5F70">
        <w:t>s follows</w:t>
      </w:r>
      <w:r w:rsidRPr="0007302F">
        <w:t>:</w:t>
      </w:r>
    </w:p>
    <w:p w14:paraId="3852C447" w14:textId="23590319" w:rsidR="001E3ACB" w:rsidRDefault="001E3ACB" w:rsidP="00BB73DB">
      <w:pPr>
        <w:pStyle w:val="ListParagraph"/>
        <w:numPr>
          <w:ilvl w:val="0"/>
          <w:numId w:val="20"/>
        </w:numPr>
      </w:pPr>
      <w:r w:rsidRPr="0007302F">
        <w:t xml:space="preserve">Infirmary Street, </w:t>
      </w:r>
      <w:r w:rsidRPr="00D054CC">
        <w:rPr>
          <w:b/>
          <w:bCs/>
        </w:rPr>
        <w:t>Edinburgh</w:t>
      </w:r>
      <w:r w:rsidRPr="0007302F">
        <w:t xml:space="preserve"> </w:t>
      </w:r>
      <w:proofErr w:type="spellStart"/>
      <w:r>
        <w:t>lat</w:t>
      </w:r>
      <w:proofErr w:type="spellEnd"/>
      <w:r>
        <w:t>/</w:t>
      </w:r>
      <w:proofErr w:type="spellStart"/>
      <w:r>
        <w:t>lon</w:t>
      </w:r>
      <w:proofErr w:type="spellEnd"/>
      <w:r>
        <w:t xml:space="preserve"> </w:t>
      </w:r>
      <w:r w:rsidRPr="00025A18">
        <w:t>55.948558</w:t>
      </w:r>
      <w:r w:rsidR="004E5F70">
        <w:rPr>
          <w:rFonts w:cstheme="minorHAnsi"/>
        </w:rPr>
        <w:t>°</w:t>
      </w:r>
      <w:r>
        <w:t xml:space="preserve">, </w:t>
      </w:r>
      <w:r w:rsidR="00B54C6A">
        <w:t>-</w:t>
      </w:r>
      <w:r w:rsidRPr="00025A18">
        <w:t>3.184447</w:t>
      </w:r>
      <w:r w:rsidR="004E5F70">
        <w:rPr>
          <w:rFonts w:cstheme="minorHAnsi"/>
        </w:rPr>
        <w:t>°</w:t>
      </w:r>
    </w:p>
    <w:p w14:paraId="5A40A44B" w14:textId="49D9700F" w:rsidR="001E3ACB" w:rsidRDefault="001E3ACB" w:rsidP="00BB73DB">
      <w:pPr>
        <w:pStyle w:val="ListParagraph"/>
        <w:numPr>
          <w:ilvl w:val="0"/>
          <w:numId w:val="20"/>
        </w:numPr>
      </w:pPr>
      <w:r w:rsidRPr="00D054CC">
        <w:rPr>
          <w:b/>
          <w:bCs/>
        </w:rPr>
        <w:t>Charlestown</w:t>
      </w:r>
      <w:r>
        <w:t xml:space="preserve"> </w:t>
      </w:r>
      <w:proofErr w:type="spellStart"/>
      <w:r>
        <w:t>lat</w:t>
      </w:r>
      <w:proofErr w:type="spellEnd"/>
      <w:r>
        <w:t>/</w:t>
      </w:r>
      <w:proofErr w:type="spellStart"/>
      <w:r>
        <w:t>lon</w:t>
      </w:r>
      <w:proofErr w:type="spellEnd"/>
      <w:r>
        <w:t xml:space="preserve"> </w:t>
      </w:r>
      <w:r w:rsidRPr="00025A18">
        <w:t>56.037428</w:t>
      </w:r>
      <w:r w:rsidR="004E5F70">
        <w:rPr>
          <w:rFonts w:cstheme="minorHAnsi"/>
        </w:rPr>
        <w:t>°</w:t>
      </w:r>
      <w:r>
        <w:t>,</w:t>
      </w:r>
      <w:r w:rsidR="004E5F70">
        <w:t xml:space="preserve"> </w:t>
      </w:r>
      <w:r>
        <w:t>-</w:t>
      </w:r>
      <w:r w:rsidRPr="00025A18">
        <w:t>3.49945</w:t>
      </w:r>
      <w:r w:rsidR="004E5F70">
        <w:rPr>
          <w:rFonts w:cstheme="minorHAnsi"/>
        </w:rPr>
        <w:t>°</w:t>
      </w:r>
    </w:p>
    <w:p w14:paraId="7CEBBC8A" w14:textId="397C6E2A" w:rsidR="001E3ACB" w:rsidRDefault="001E3ACB" w:rsidP="00595123">
      <w:pPr>
        <w:pStyle w:val="ListParagraph"/>
        <w:numPr>
          <w:ilvl w:val="0"/>
          <w:numId w:val="20"/>
        </w:numPr>
      </w:pPr>
      <w:r w:rsidRPr="00D054CC">
        <w:rPr>
          <w:b/>
          <w:bCs/>
        </w:rPr>
        <w:t>Glasgow Townhead</w:t>
      </w:r>
      <w:r>
        <w:t xml:space="preserve"> </w:t>
      </w:r>
      <w:proofErr w:type="spellStart"/>
      <w:r>
        <w:t>lat</w:t>
      </w:r>
      <w:proofErr w:type="spellEnd"/>
      <w:r>
        <w:t>/</w:t>
      </w:r>
      <w:proofErr w:type="spellStart"/>
      <w:r>
        <w:t>lon</w:t>
      </w:r>
      <w:proofErr w:type="spellEnd"/>
      <w:r>
        <w:t xml:space="preserve"> </w:t>
      </w:r>
      <w:r w:rsidRPr="00025A18">
        <w:t>55.865782</w:t>
      </w:r>
      <w:r w:rsidR="004E5F70">
        <w:rPr>
          <w:rFonts w:cstheme="minorHAnsi"/>
        </w:rPr>
        <w:t>°</w:t>
      </w:r>
      <w:r w:rsidRPr="00025A18">
        <w:t>, -4.243631</w:t>
      </w:r>
      <w:r w:rsidR="004E5F70">
        <w:rPr>
          <w:rFonts w:cstheme="minorHAnsi"/>
        </w:rPr>
        <w:t>°</w:t>
      </w:r>
    </w:p>
    <w:p w14:paraId="7AACFE87" w14:textId="6E09E501" w:rsidR="001E3ACB" w:rsidRPr="0007302F" w:rsidRDefault="001E3ACB" w:rsidP="009E0188">
      <w:pPr>
        <w:pStyle w:val="ListParagraph"/>
        <w:numPr>
          <w:ilvl w:val="0"/>
          <w:numId w:val="20"/>
        </w:numPr>
      </w:pPr>
      <w:proofErr w:type="spellStart"/>
      <w:r w:rsidRPr="00D054CC">
        <w:rPr>
          <w:b/>
          <w:bCs/>
        </w:rPr>
        <w:t>Auchencorth</w:t>
      </w:r>
      <w:proofErr w:type="spellEnd"/>
      <w:r w:rsidRPr="00D054CC">
        <w:rPr>
          <w:b/>
          <w:bCs/>
        </w:rPr>
        <w:t xml:space="preserve"> Moss</w:t>
      </w:r>
      <w:r>
        <w:t xml:space="preserve"> </w:t>
      </w:r>
      <w:proofErr w:type="spellStart"/>
      <w:r>
        <w:t>lat</w:t>
      </w:r>
      <w:proofErr w:type="spellEnd"/>
      <w:r>
        <w:t>/</w:t>
      </w:r>
      <w:proofErr w:type="spellStart"/>
      <w:r>
        <w:t>lon</w:t>
      </w:r>
      <w:proofErr w:type="spellEnd"/>
      <w:r>
        <w:t xml:space="preserve"> </w:t>
      </w:r>
      <w:r w:rsidRPr="00025A18">
        <w:t>55.792160</w:t>
      </w:r>
      <w:r w:rsidR="004E5F70">
        <w:rPr>
          <w:rFonts w:cstheme="minorHAnsi"/>
        </w:rPr>
        <w:t>°</w:t>
      </w:r>
      <w:r w:rsidRPr="00025A18">
        <w:t>, -3.242900</w:t>
      </w:r>
      <w:r w:rsidR="004E5F70">
        <w:rPr>
          <w:rFonts w:cstheme="minorHAnsi"/>
        </w:rPr>
        <w:t>°</w:t>
      </w:r>
    </w:p>
    <w:p w14:paraId="59AD7FBF" w14:textId="232CA6B1" w:rsidR="001E3ACB" w:rsidRPr="00AD0352" w:rsidRDefault="001E3ACB" w:rsidP="00DD36E9">
      <w:pPr>
        <w:pStyle w:val="Heading1"/>
        <w:spacing w:before="0" w:after="120" w:line="26" w:lineRule="atLeast"/>
        <w:rPr>
          <w:rFonts w:asciiTheme="minorHAnsi" w:hAnsiTheme="minorHAnsi" w:cstheme="minorHAnsi"/>
          <w:color w:val="auto"/>
          <w:sz w:val="22"/>
          <w:szCs w:val="22"/>
        </w:rPr>
      </w:pPr>
      <w:bookmarkStart w:id="4" w:name="_Toc167878275"/>
      <w:r w:rsidRPr="00AD0352">
        <w:rPr>
          <w:rStyle w:val="Heading2Char"/>
          <w:sz w:val="32"/>
          <w:szCs w:val="32"/>
        </w:rPr>
        <w:t>Temporal coverage</w:t>
      </w:r>
      <w:bookmarkEnd w:id="4"/>
      <w:r w:rsidRPr="00AD0352">
        <w:rPr>
          <w:rStyle w:val="Heading2Char"/>
          <w:sz w:val="32"/>
          <w:szCs w:val="32"/>
        </w:rPr>
        <w:t xml:space="preserve"> and resolution</w:t>
      </w:r>
      <w:r w:rsidRPr="00AD0352">
        <w:rPr>
          <w:sz w:val="32"/>
          <w:szCs w:val="32"/>
        </w:rPr>
        <w:br/>
      </w:r>
      <w:r w:rsidRPr="00AD0352">
        <w:rPr>
          <w:rFonts w:asciiTheme="minorHAnsi" w:hAnsiTheme="minorHAnsi" w:cstheme="minorHAnsi"/>
          <w:color w:val="auto"/>
          <w:sz w:val="22"/>
          <w:szCs w:val="22"/>
        </w:rPr>
        <w:t>2023_Edinburgh.csv</w:t>
      </w:r>
      <w:r w:rsidR="004E5F70">
        <w:rPr>
          <w:rFonts w:asciiTheme="minorHAnsi" w:hAnsiTheme="minorHAnsi" w:cstheme="minorHAnsi"/>
          <w:color w:val="auto"/>
          <w:sz w:val="22"/>
          <w:szCs w:val="22"/>
        </w:rPr>
        <w:t xml:space="preserve"> </w:t>
      </w:r>
      <w:proofErr w:type="gramStart"/>
      <w:r w:rsidR="004E5F70">
        <w:rPr>
          <w:rFonts w:asciiTheme="minorHAnsi" w:hAnsiTheme="minorHAnsi" w:cstheme="minorHAnsi"/>
          <w:color w:val="auto"/>
          <w:sz w:val="22"/>
          <w:szCs w:val="22"/>
        </w:rPr>
        <w:t>includes</w:t>
      </w:r>
      <w:proofErr w:type="gramEnd"/>
      <w:r w:rsidRPr="00AD0352">
        <w:rPr>
          <w:rFonts w:asciiTheme="minorHAnsi" w:hAnsiTheme="minorHAnsi" w:cstheme="minorHAnsi"/>
          <w:color w:val="auto"/>
          <w:sz w:val="22"/>
          <w:szCs w:val="22"/>
        </w:rPr>
        <w:t xml:space="preserve"> data collected between 13/01/2023 09:00:00 and 06/03/2023 08:00:00</w:t>
      </w:r>
    </w:p>
    <w:p w14:paraId="700AA238" w14:textId="650A38A8" w:rsidR="001E3ACB" w:rsidRDefault="001E3ACB" w:rsidP="00DD36E9">
      <w:pPr>
        <w:spacing w:after="120" w:line="26" w:lineRule="atLeast"/>
        <w:rPr>
          <w:rFonts w:cstheme="minorHAnsi"/>
        </w:rPr>
      </w:pPr>
      <w:r w:rsidRPr="00AD0352">
        <w:rPr>
          <w:rFonts w:cstheme="minorHAnsi"/>
        </w:rPr>
        <w:t xml:space="preserve">2024_Charlestown.csv </w:t>
      </w:r>
      <w:r w:rsidR="004E5F70">
        <w:rPr>
          <w:rFonts w:cstheme="minorHAnsi"/>
        </w:rPr>
        <w:t xml:space="preserve">includes </w:t>
      </w:r>
      <w:r w:rsidRPr="00AD0352">
        <w:rPr>
          <w:rFonts w:cstheme="minorHAnsi"/>
        </w:rPr>
        <w:t>data collected between 05/01/2024 09:00:00 and 25/03/2024 11:00:00</w:t>
      </w:r>
    </w:p>
    <w:p w14:paraId="62FE2465" w14:textId="1DC63F44" w:rsidR="001E3ACB" w:rsidRDefault="001E3ACB" w:rsidP="00DD36E9">
      <w:pPr>
        <w:spacing w:after="120" w:line="26" w:lineRule="atLeast"/>
        <w:rPr>
          <w:rFonts w:cstheme="minorHAnsi"/>
        </w:rPr>
      </w:pPr>
      <w:r>
        <w:rPr>
          <w:rFonts w:cstheme="minorHAnsi"/>
        </w:rPr>
        <w:t xml:space="preserve">AuchencorthMoss.csv </w:t>
      </w:r>
      <w:r w:rsidR="004E5F70">
        <w:rPr>
          <w:rFonts w:cstheme="minorHAnsi"/>
        </w:rPr>
        <w:t xml:space="preserve">contains </w:t>
      </w:r>
      <w:r>
        <w:rPr>
          <w:rFonts w:cstheme="minorHAnsi"/>
        </w:rPr>
        <w:t>data cover</w:t>
      </w:r>
      <w:r w:rsidR="004E5F70">
        <w:rPr>
          <w:rFonts w:cstheme="minorHAnsi"/>
        </w:rPr>
        <w:t>ing</w:t>
      </w:r>
      <w:r>
        <w:rPr>
          <w:rFonts w:cstheme="minorHAnsi"/>
        </w:rPr>
        <w:t xml:space="preserve"> the period between 01/01/2020 00:00 and 31/12/2024 00:00 </w:t>
      </w:r>
    </w:p>
    <w:p w14:paraId="4AC71FD1" w14:textId="3833585F" w:rsidR="001E3ACB" w:rsidRDefault="001E3ACB" w:rsidP="00DD36E9">
      <w:pPr>
        <w:spacing w:after="120" w:line="26" w:lineRule="atLeast"/>
        <w:rPr>
          <w:rFonts w:cstheme="minorHAnsi"/>
        </w:rPr>
      </w:pPr>
      <w:r>
        <w:rPr>
          <w:rFonts w:cstheme="minorHAnsi"/>
        </w:rPr>
        <w:t xml:space="preserve">GlasgowTownhead.csv </w:t>
      </w:r>
      <w:r w:rsidR="004E5F70">
        <w:rPr>
          <w:rFonts w:cstheme="minorHAnsi"/>
        </w:rPr>
        <w:t xml:space="preserve">contains </w:t>
      </w:r>
      <w:r>
        <w:rPr>
          <w:rFonts w:cstheme="minorHAnsi"/>
        </w:rPr>
        <w:t>data cover</w:t>
      </w:r>
      <w:r w:rsidR="004E5F70">
        <w:rPr>
          <w:rFonts w:cstheme="minorHAnsi"/>
        </w:rPr>
        <w:t>ing</w:t>
      </w:r>
      <w:r>
        <w:rPr>
          <w:rFonts w:cstheme="minorHAnsi"/>
        </w:rPr>
        <w:t xml:space="preserve"> the period between 01/01/2020 00:00 and 31/12/2024 00:00 </w:t>
      </w:r>
    </w:p>
    <w:p w14:paraId="541C68B2" w14:textId="77777777" w:rsidR="001E3ACB" w:rsidRPr="00AE4220" w:rsidRDefault="001E3ACB" w:rsidP="00DD36E9">
      <w:pPr>
        <w:spacing w:after="120" w:line="26" w:lineRule="atLeast"/>
      </w:pPr>
      <w:bookmarkStart w:id="5" w:name="_Toc167878278"/>
      <w:r w:rsidRPr="00AE4220">
        <w:t>All data have an hourly resolution</w:t>
      </w:r>
      <w:r>
        <w:t>.</w:t>
      </w:r>
    </w:p>
    <w:p w14:paraId="60E95159" w14:textId="77777777" w:rsidR="001E3ACB" w:rsidRPr="00997265" w:rsidRDefault="001E3ACB" w:rsidP="00997265">
      <w:pPr>
        <w:pStyle w:val="Heading1"/>
        <w:rPr>
          <w:color w:val="7F7F7F" w:themeColor="text1" w:themeTint="80"/>
          <w:sz w:val="22"/>
          <w:szCs w:val="22"/>
        </w:rPr>
      </w:pPr>
      <w:bookmarkStart w:id="6" w:name="_Toc167878280"/>
      <w:bookmarkEnd w:id="5"/>
      <w:r w:rsidRPr="001B3490">
        <w:t>Fieldwork and/or laboratory instrumentation</w:t>
      </w:r>
      <w:bookmarkEnd w:id="6"/>
    </w:p>
    <w:p w14:paraId="71E2B79E" w14:textId="0671B388" w:rsidR="001E3ACB" w:rsidRDefault="001E3ACB" w:rsidP="00DD36E9">
      <w:pPr>
        <w:spacing w:after="120"/>
      </w:pPr>
      <w:r>
        <w:t>The</w:t>
      </w:r>
      <w:r w:rsidRPr="00AE4220">
        <w:t xml:space="preserve"> aerosol components (</w:t>
      </w:r>
      <w:r>
        <w:t>NO</w:t>
      </w:r>
      <w:r w:rsidRPr="004E5F70">
        <w:rPr>
          <w:vertAlign w:val="subscript"/>
        </w:rPr>
        <w:t>3</w:t>
      </w:r>
      <w:r>
        <w:t>, SO</w:t>
      </w:r>
      <w:r w:rsidRPr="004E5F70">
        <w:rPr>
          <w:vertAlign w:val="subscript"/>
        </w:rPr>
        <w:t>4</w:t>
      </w:r>
      <w:r>
        <w:t>, Cl, NH</w:t>
      </w:r>
      <w:r w:rsidRPr="004E5F70">
        <w:rPr>
          <w:vertAlign w:val="subscript"/>
        </w:rPr>
        <w:t>4</w:t>
      </w:r>
      <w:r>
        <w:t>, Org) were measured using a High</w:t>
      </w:r>
      <w:r w:rsidR="00AE6AE9">
        <w:t>-</w:t>
      </w:r>
      <w:r>
        <w:t xml:space="preserve">Resolution Time of Flight Aerosol Mass </w:t>
      </w:r>
      <w:r w:rsidRPr="00804502">
        <w:t>Spectrometer (HR-TOF-AMS) (</w:t>
      </w:r>
      <w:hyperlink r:id="rId11" w:history="1">
        <w:r w:rsidRPr="00804502">
          <w:rPr>
            <w:rStyle w:val="Hyperlink"/>
          </w:rPr>
          <w:t>https://aerodyne.com/</w:t>
        </w:r>
      </w:hyperlink>
      <w:r>
        <w:t>).</w:t>
      </w:r>
    </w:p>
    <w:p w14:paraId="21AB2502" w14:textId="6F20E287" w:rsidR="001E3ACB" w:rsidRDefault="001E3ACB" w:rsidP="00DD36E9">
      <w:pPr>
        <w:spacing w:after="120"/>
      </w:pPr>
      <w:r>
        <w:t>The equivalent Black carbon (</w:t>
      </w:r>
      <w:proofErr w:type="spellStart"/>
      <w:r>
        <w:t>eBC</w:t>
      </w:r>
      <w:proofErr w:type="spellEnd"/>
      <w:r>
        <w:t>) was measured using an AE33 7-wavelength aethalometer (</w:t>
      </w:r>
      <w:hyperlink r:id="rId12" w:history="1">
        <w:r w:rsidRPr="009362C0">
          <w:rPr>
            <w:rStyle w:val="Hyperlink"/>
          </w:rPr>
          <w:t>https://aerosolmageesci.com/</w:t>
        </w:r>
      </w:hyperlink>
      <w:r>
        <w:t>)</w:t>
      </w:r>
      <w:r w:rsidR="000F0D56">
        <w:t>.</w:t>
      </w:r>
    </w:p>
    <w:p w14:paraId="3DB773E6" w14:textId="273E6D4E" w:rsidR="001E3ACB" w:rsidRDefault="001E3ACB" w:rsidP="00DD36E9">
      <w:pPr>
        <w:spacing w:after="120"/>
      </w:pPr>
      <w:r>
        <w:t>PM</w:t>
      </w:r>
      <w:r w:rsidRPr="004E5F70">
        <w:rPr>
          <w:vertAlign w:val="subscript"/>
        </w:rPr>
        <w:t>1</w:t>
      </w:r>
      <w:r>
        <w:t xml:space="preserve"> and PM</w:t>
      </w:r>
      <w:r w:rsidRPr="004E5F70">
        <w:rPr>
          <w:vertAlign w:val="subscript"/>
        </w:rPr>
        <w:t>2.5</w:t>
      </w:r>
      <w:r>
        <w:t xml:space="preserve"> mass concentrations were measured using an optical particle counter (</w:t>
      </w:r>
      <w:proofErr w:type="spellStart"/>
      <w:r>
        <w:t>Dustdecoder</w:t>
      </w:r>
      <w:proofErr w:type="spellEnd"/>
      <w:r>
        <w:t xml:space="preserve"> 11-D, GRIMM Aerosol Technik)</w:t>
      </w:r>
      <w:r w:rsidR="000F0D56">
        <w:t>.</w:t>
      </w:r>
    </w:p>
    <w:p w14:paraId="41E624E8" w14:textId="77777777" w:rsidR="001E3ACB" w:rsidRDefault="001E3ACB" w:rsidP="00DD36E9">
      <w:pPr>
        <w:spacing w:after="120"/>
      </w:pPr>
      <w:r>
        <w:t>CO</w:t>
      </w:r>
      <w:r w:rsidRPr="004E5F70">
        <w:rPr>
          <w:vertAlign w:val="subscript"/>
        </w:rPr>
        <w:t>2</w:t>
      </w:r>
      <w:r>
        <w:t>, CH</w:t>
      </w:r>
      <w:r w:rsidRPr="004E5F70">
        <w:rPr>
          <w:vertAlign w:val="subscript"/>
        </w:rPr>
        <w:t>4</w:t>
      </w:r>
      <w:r>
        <w:t>, O</w:t>
      </w:r>
      <w:r w:rsidRPr="004E5F70">
        <w:rPr>
          <w:vertAlign w:val="subscript"/>
        </w:rPr>
        <w:t>3</w:t>
      </w:r>
      <w:r>
        <w:t xml:space="preserve"> were measured using a Multi-Gas-Analyser (</w:t>
      </w:r>
      <w:r w:rsidRPr="005600B0">
        <w:t>MGA</w:t>
      </w:r>
      <w:r>
        <w:t xml:space="preserve">, </w:t>
      </w:r>
      <w:r w:rsidRPr="005600B0">
        <w:t>MIRO</w:t>
      </w:r>
      <w:r>
        <w:t xml:space="preserve"> analytical AG).</w:t>
      </w:r>
    </w:p>
    <w:p w14:paraId="3522B6C4" w14:textId="4D391216" w:rsidR="001E3ACB" w:rsidRDefault="001E3ACB" w:rsidP="00DD36E9">
      <w:pPr>
        <w:spacing w:after="120"/>
      </w:pPr>
      <w:r>
        <w:t xml:space="preserve">Meteorological parameters were measured with a </w:t>
      </w:r>
      <w:proofErr w:type="spellStart"/>
      <w:r>
        <w:t>metstation</w:t>
      </w:r>
      <w:proofErr w:type="spellEnd"/>
      <w:r>
        <w:t xml:space="preserve"> (Vaisala Weather Transmitter WXT530)</w:t>
      </w:r>
      <w:r w:rsidR="000F0D56">
        <w:t>.</w:t>
      </w:r>
    </w:p>
    <w:p w14:paraId="0FCA58EB" w14:textId="20F40A3A" w:rsidR="001E3ACB" w:rsidRDefault="001E3ACB" w:rsidP="00DD36E9">
      <w:pPr>
        <w:spacing w:after="120"/>
      </w:pPr>
      <w:r>
        <w:lastRenderedPageBreak/>
        <w:t>The measurement height was 3m above ground level</w:t>
      </w:r>
      <w:r w:rsidR="000F0D56">
        <w:t>.</w:t>
      </w:r>
    </w:p>
    <w:p w14:paraId="60C1EF6F" w14:textId="77777777" w:rsidR="001E3ACB" w:rsidRPr="00DD36E9" w:rsidRDefault="001E3ACB" w:rsidP="00DD36E9">
      <w:pPr>
        <w:pStyle w:val="Heading1"/>
        <w:spacing w:before="0"/>
        <w:rPr>
          <w:rFonts w:asciiTheme="minorHAnsi" w:hAnsiTheme="minorHAnsi" w:cstheme="minorHAnsi"/>
          <w:b/>
          <w:color w:val="auto"/>
          <w:sz w:val="22"/>
          <w:szCs w:val="22"/>
        </w:rPr>
      </w:pPr>
      <w:bookmarkStart w:id="7" w:name="_Toc167878281"/>
      <w:r w:rsidRPr="00190CA3">
        <w:t>Calibration steps and values</w:t>
      </w:r>
      <w:bookmarkEnd w:id="7"/>
    </w:p>
    <w:p w14:paraId="0B0B5AC8" w14:textId="2F7C9EC2" w:rsidR="001E3ACB" w:rsidRPr="00BD110A" w:rsidRDefault="001E3ACB" w:rsidP="00DD36E9">
      <w:pPr>
        <w:spacing w:after="0"/>
      </w:pPr>
      <w:r w:rsidRPr="00804502">
        <w:t xml:space="preserve">The </w:t>
      </w:r>
      <w:commentRangeStart w:id="8"/>
      <w:r w:rsidRPr="00804502">
        <w:t>HR-TOF</w:t>
      </w:r>
      <w:r w:rsidR="00AE6AE9" w:rsidRPr="00804502">
        <w:t>-</w:t>
      </w:r>
      <w:r w:rsidRPr="00804502">
        <w:t>AMS</w:t>
      </w:r>
      <w:commentRangeEnd w:id="8"/>
      <w:r w:rsidR="00FC491E" w:rsidRPr="00804502">
        <w:rPr>
          <w:rStyle w:val="CommentReference"/>
        </w:rPr>
        <w:commentReference w:id="8"/>
      </w:r>
      <w:r w:rsidRPr="00804502">
        <w:t xml:space="preserve"> was</w:t>
      </w:r>
      <w:r w:rsidRPr="00BD110A">
        <w:t xml:space="preserve"> calibrated fortnightly following the guidelines of the manufacturer. Blanks were checked using an HEPA filter at the inlet.</w:t>
      </w:r>
    </w:p>
    <w:p w14:paraId="4DA65BE2" w14:textId="77777777" w:rsidR="001E3ACB" w:rsidRPr="001B3490" w:rsidRDefault="001E3ACB" w:rsidP="00670E58">
      <w:pPr>
        <w:pStyle w:val="Heading1"/>
        <w:spacing w:before="240"/>
      </w:pPr>
      <w:r w:rsidRPr="001B3490">
        <w:t>Collection/Generation/Transformation methods</w:t>
      </w:r>
    </w:p>
    <w:p w14:paraId="021FD3E8" w14:textId="60E95D07" w:rsidR="001E3ACB" w:rsidRPr="00DD36E9" w:rsidRDefault="001E3ACB" w:rsidP="00BD7CCC">
      <w:pPr>
        <w:keepNext/>
        <w:spacing w:after="120"/>
      </w:pPr>
      <w:r w:rsidRPr="00DD36E9">
        <w:t xml:space="preserve">The </w:t>
      </w:r>
      <w:r w:rsidR="004E5F70">
        <w:t>Aerosol Mass Spectrometer (</w:t>
      </w:r>
      <w:r w:rsidRPr="00DD36E9">
        <w:t>AMS</w:t>
      </w:r>
      <w:r w:rsidR="004E5F70">
        <w:t>)</w:t>
      </w:r>
      <w:r w:rsidRPr="00DD36E9">
        <w:t xml:space="preserve"> data were analysed using a tool created by the University of Colorado in collaboration with Aerodyne Research Ltd, based on the software Igor Pro (</w:t>
      </w:r>
      <w:proofErr w:type="spellStart"/>
      <w:r w:rsidRPr="00DD36E9">
        <w:t>Wavemetrics</w:t>
      </w:r>
      <w:proofErr w:type="spellEnd"/>
      <w:r w:rsidRPr="00DD36E9">
        <w:t>).</w:t>
      </w:r>
      <w:r>
        <w:t xml:space="preserve"> Hourly data were then converted into an Excel spreadsheet and csv file.</w:t>
      </w:r>
    </w:p>
    <w:p w14:paraId="1A1126DA" w14:textId="77777777" w:rsidR="001E3ACB" w:rsidRPr="00C32939" w:rsidRDefault="001E3ACB" w:rsidP="00BD7CCC">
      <w:pPr>
        <w:keepNext/>
        <w:spacing w:after="120"/>
      </w:pPr>
      <w:r w:rsidRPr="00C32939">
        <w:t xml:space="preserve">The </w:t>
      </w:r>
      <w:r>
        <w:t xml:space="preserve">organic </w:t>
      </w:r>
      <w:r w:rsidRPr="00C32939">
        <w:t>source components</w:t>
      </w:r>
      <w:r>
        <w:t xml:space="preserve"> (</w:t>
      </w:r>
      <w:r w:rsidRPr="00BD7CCC">
        <w:t xml:space="preserve">HOA, BBOA, COA, MO-OOA, LO-OOA) were obtained from positive matrix factorisation (PMF) analysis </w:t>
      </w:r>
      <w:hyperlink r:id="rId17" w:history="1">
        <w:r>
          <w:t>(</w:t>
        </w:r>
        <w:proofErr w:type="spellStart"/>
        <w:r>
          <w:t>Paatero</w:t>
        </w:r>
        <w:proofErr w:type="spellEnd"/>
        <w:r>
          <w:t> and Tapper, 1994)</w:t>
        </w:r>
      </w:hyperlink>
      <w:r w:rsidRPr="00BD7CCC">
        <w:t xml:space="preserve">. A tool based on Igor pro “PMF evaluation tool -PET v 3.08” was used here to determine the source apportionment </w:t>
      </w:r>
      <w:hyperlink r:id="rId18" w:history="1">
        <w:r>
          <w:t>(Ulbrich et al., 2009)</w:t>
        </w:r>
      </w:hyperlink>
    </w:p>
    <w:p w14:paraId="1F0C3C30" w14:textId="02F3F060" w:rsidR="001E3ACB" w:rsidRPr="00AE4220" w:rsidRDefault="001E3ACB" w:rsidP="00BD7CCC">
      <w:pPr>
        <w:spacing w:after="120"/>
      </w:pPr>
      <w:r>
        <w:t>The black carbon source apportionment (</w:t>
      </w:r>
      <w:proofErr w:type="spellStart"/>
      <w:r w:rsidRPr="00BD7CCC">
        <w:rPr>
          <w:rFonts w:ascii="Calibri" w:hAnsi="Calibri" w:cs="Calibri"/>
          <w:color w:val="000000"/>
        </w:rPr>
        <w:t>eBCwb</w:t>
      </w:r>
      <w:proofErr w:type="spellEnd"/>
      <w:r w:rsidRPr="00BD7CCC">
        <w:rPr>
          <w:rFonts w:ascii="Calibri" w:hAnsi="Calibri" w:cs="Calibri"/>
          <w:color w:val="000000"/>
        </w:rPr>
        <w:t xml:space="preserve">, </w:t>
      </w:r>
      <w:proofErr w:type="spellStart"/>
      <w:r w:rsidRPr="00BD7CCC">
        <w:rPr>
          <w:rFonts w:ascii="Calibri" w:hAnsi="Calibri" w:cs="Calibri"/>
          <w:color w:val="000000"/>
        </w:rPr>
        <w:t>eBCtr</w:t>
      </w:r>
      <w:proofErr w:type="spellEnd"/>
      <w:r w:rsidRPr="00BD7CCC">
        <w:rPr>
          <w:rFonts w:ascii="Calibri" w:hAnsi="Calibri" w:cs="Calibri"/>
          <w:color w:val="000000"/>
        </w:rPr>
        <w:t xml:space="preserve">,  </w:t>
      </w:r>
      <w:proofErr w:type="spellStart"/>
      <w:r w:rsidRPr="00BD7CCC">
        <w:rPr>
          <w:rFonts w:ascii="Calibri" w:hAnsi="Calibri" w:cs="Calibri"/>
          <w:color w:val="000000"/>
        </w:rPr>
        <w:t>eBCwb</w:t>
      </w:r>
      <w:proofErr w:type="spellEnd"/>
      <w:r w:rsidRPr="00BD7CCC">
        <w:rPr>
          <w:rFonts w:ascii="Calibri" w:hAnsi="Calibri" w:cs="Calibri"/>
          <w:color w:val="000000"/>
        </w:rPr>
        <w:t xml:space="preserve">,_ss </w:t>
      </w:r>
      <w:proofErr w:type="spellStart"/>
      <w:r w:rsidRPr="00BD7CCC">
        <w:rPr>
          <w:rFonts w:ascii="Calibri" w:hAnsi="Calibri" w:cs="Calibri"/>
          <w:color w:val="000000"/>
        </w:rPr>
        <w:t>eBCtr_ss</w:t>
      </w:r>
      <w:proofErr w:type="spellEnd"/>
      <w:r w:rsidRPr="00BD7CCC">
        <w:rPr>
          <w:rFonts w:ascii="Calibri" w:hAnsi="Calibri" w:cs="Calibri"/>
          <w:color w:val="000000"/>
        </w:rPr>
        <w:t xml:space="preserve">,  </w:t>
      </w:r>
      <w:proofErr w:type="spellStart"/>
      <w:r w:rsidRPr="00BD7CCC">
        <w:rPr>
          <w:rFonts w:ascii="Calibri" w:hAnsi="Calibri" w:cs="Calibri"/>
          <w:color w:val="000000"/>
        </w:rPr>
        <w:t>eBCwb_mid</w:t>
      </w:r>
      <w:proofErr w:type="spellEnd"/>
      <w:r w:rsidRPr="00BD7CCC">
        <w:rPr>
          <w:rFonts w:ascii="Calibri" w:hAnsi="Calibri" w:cs="Calibri"/>
          <w:color w:val="000000"/>
        </w:rPr>
        <w:t xml:space="preserve">,  </w:t>
      </w:r>
      <w:proofErr w:type="spellStart"/>
      <w:r w:rsidRPr="00BD7CCC">
        <w:rPr>
          <w:rFonts w:ascii="Calibri" w:hAnsi="Calibri" w:cs="Calibri"/>
          <w:color w:val="000000"/>
        </w:rPr>
        <w:t>eBCtr_mid</w:t>
      </w:r>
      <w:proofErr w:type="spellEnd"/>
      <w:r>
        <w:rPr>
          <w:rFonts w:ascii="Calibri" w:hAnsi="Calibri" w:cs="Calibri"/>
          <w:color w:val="000000"/>
        </w:rPr>
        <w:t>) and the PM</w:t>
      </w:r>
      <w:r w:rsidRPr="004E5F70">
        <w:rPr>
          <w:rFonts w:ascii="Calibri" w:hAnsi="Calibri" w:cs="Calibri"/>
          <w:color w:val="000000"/>
          <w:vertAlign w:val="subscript"/>
        </w:rPr>
        <w:t>2.5</w:t>
      </w:r>
      <w:r>
        <w:rPr>
          <w:rFonts w:ascii="Calibri" w:hAnsi="Calibri" w:cs="Calibri"/>
          <w:color w:val="000000"/>
        </w:rPr>
        <w:t xml:space="preserve"> concentration due to solid fuel burning (</w:t>
      </w:r>
      <w:proofErr w:type="spellStart"/>
      <w:r w:rsidRPr="00BD7CCC">
        <w:rPr>
          <w:rFonts w:ascii="Calibri" w:hAnsi="Calibri" w:cs="Calibri"/>
          <w:color w:val="000000"/>
        </w:rPr>
        <w:t>Cwood</w:t>
      </w:r>
      <w:proofErr w:type="spellEnd"/>
      <w:r w:rsidRPr="00BD7CCC">
        <w:rPr>
          <w:rFonts w:ascii="Calibri" w:hAnsi="Calibri" w:cs="Calibri"/>
          <w:color w:val="000000"/>
        </w:rPr>
        <w:t xml:space="preserve">,  </w:t>
      </w:r>
      <w:proofErr w:type="spellStart"/>
      <w:r w:rsidRPr="00BD7CCC">
        <w:rPr>
          <w:rFonts w:ascii="Calibri" w:hAnsi="Calibri" w:cs="Calibri"/>
          <w:color w:val="000000"/>
        </w:rPr>
        <w:t>Cwood_ss</w:t>
      </w:r>
      <w:proofErr w:type="spellEnd"/>
      <w:r w:rsidRPr="00BD7CCC">
        <w:rPr>
          <w:rFonts w:ascii="Calibri" w:hAnsi="Calibri" w:cs="Calibri"/>
          <w:color w:val="000000"/>
        </w:rPr>
        <w:t xml:space="preserve">,  </w:t>
      </w:r>
      <w:proofErr w:type="spellStart"/>
      <w:r w:rsidRPr="00BD7CCC">
        <w:rPr>
          <w:rFonts w:ascii="Calibri" w:hAnsi="Calibri" w:cs="Calibri"/>
          <w:color w:val="000000"/>
        </w:rPr>
        <w:t>Cwood_mid</w:t>
      </w:r>
      <w:proofErr w:type="spellEnd"/>
      <w:r w:rsidRPr="00BD7CCC">
        <w:rPr>
          <w:rFonts w:ascii="Calibri" w:hAnsi="Calibri" w:cs="Calibri"/>
          <w:color w:val="000000"/>
        </w:rPr>
        <w:t xml:space="preserve"> </w:t>
      </w:r>
      <w:r>
        <w:rPr>
          <w:rFonts w:ascii="Calibri" w:hAnsi="Calibri" w:cs="Calibri"/>
          <w:color w:val="000000"/>
        </w:rPr>
        <w:t xml:space="preserve">) were obtained </w:t>
      </w:r>
      <w:r w:rsidR="004E5F70">
        <w:rPr>
          <w:rFonts w:ascii="Calibri" w:hAnsi="Calibri" w:cs="Calibri"/>
          <w:color w:val="000000"/>
        </w:rPr>
        <w:t xml:space="preserve">by </w:t>
      </w:r>
      <w:r>
        <w:rPr>
          <w:rFonts w:ascii="Calibri" w:hAnsi="Calibri" w:cs="Calibri"/>
          <w:color w:val="000000"/>
        </w:rPr>
        <w:t xml:space="preserve">applying the aethalometer model </w:t>
      </w:r>
      <w:hyperlink r:id="rId19" w:history="1">
        <w:r>
          <w:rPr>
            <w:rFonts w:ascii="Calibri" w:eastAsia="Times New Roman" w:hAnsi="Calibri" w:cs="Calibri"/>
          </w:rPr>
          <w:t>(Font et al., 2022; Sandradewi et al., 2008)</w:t>
        </w:r>
      </w:hyperlink>
      <w:r>
        <w:rPr>
          <w:rFonts w:ascii="Calibri" w:eastAsia="Times New Roman" w:hAnsi="Calibri" w:cs="Calibri"/>
        </w:rPr>
        <w:t xml:space="preserve">  to aethalometer measurements using different values of the Absorption Angstrom exponent (AAE) </w:t>
      </w:r>
      <w:hyperlink r:id="rId20" w:history="1">
        <w:r>
          <w:rPr>
            <w:rFonts w:ascii="Calibri" w:eastAsia="Times New Roman" w:hAnsi="Calibri" w:cs="Calibri"/>
          </w:rPr>
          <w:t>(Savadkoohi et al., 2024)</w:t>
        </w:r>
      </w:hyperlink>
      <w:r>
        <w:t xml:space="preserve">. </w:t>
      </w:r>
      <w:r w:rsidR="000F0D56">
        <w:t xml:space="preserve">The aethalometer data used </w:t>
      </w:r>
      <w:r w:rsidR="004E5F70">
        <w:t xml:space="preserve">as input to the </w:t>
      </w:r>
      <w:r>
        <w:t xml:space="preserve">Glasgow Townhead and </w:t>
      </w:r>
      <w:proofErr w:type="spellStart"/>
      <w:r>
        <w:t>Auche</w:t>
      </w:r>
      <w:r w:rsidR="004E5F70">
        <w:t>n</w:t>
      </w:r>
      <w:r>
        <w:t>corth</w:t>
      </w:r>
      <w:proofErr w:type="spellEnd"/>
      <w:r>
        <w:t xml:space="preserve"> Moss site analyses were downloaded from UK-Air (</w:t>
      </w:r>
      <w:hyperlink r:id="rId21" w:history="1">
        <w:r w:rsidRPr="009362C0">
          <w:rPr>
            <w:rStyle w:val="Hyperlink"/>
          </w:rPr>
          <w:t>https://uk-air.defra.gov.uk/</w:t>
        </w:r>
      </w:hyperlink>
      <w:r>
        <w:t>) for the</w:t>
      </w:r>
      <w:r w:rsidR="004E5F70">
        <w:t>se</w:t>
      </w:r>
      <w:r>
        <w:t xml:space="preserve"> monitoring stations</w:t>
      </w:r>
      <w:r w:rsidR="004E5F70">
        <w:t xml:space="preserve">, </w:t>
      </w:r>
      <w:r w:rsidR="004E5F70" w:rsidRPr="00FC491E">
        <w:t>which are part of the UK Black Carbon Network</w:t>
      </w:r>
      <w:r w:rsidRPr="00FC491E">
        <w:t>.</w:t>
      </w:r>
    </w:p>
    <w:p w14:paraId="336DB064" w14:textId="77777777" w:rsidR="001E3ACB" w:rsidRPr="00C75B2F" w:rsidRDefault="001E3ACB" w:rsidP="00BD7CCC">
      <w:pPr>
        <w:pStyle w:val="Heading1"/>
        <w:spacing w:before="240"/>
        <w:rPr>
          <w:color w:val="767171" w:themeColor="background2" w:themeShade="80"/>
        </w:rPr>
      </w:pPr>
      <w:bookmarkStart w:id="9" w:name="_Toc167878283"/>
      <w:r w:rsidRPr="00190CA3">
        <w:t>Quality control</w:t>
      </w:r>
      <w:bookmarkEnd w:id="9"/>
    </w:p>
    <w:p w14:paraId="1214B397" w14:textId="77777777" w:rsidR="001E3ACB" w:rsidRDefault="001E3ACB" w:rsidP="00CA338B">
      <w:pPr>
        <w:pStyle w:val="ListParagraph"/>
        <w:numPr>
          <w:ilvl w:val="0"/>
          <w:numId w:val="19"/>
        </w:numPr>
      </w:pPr>
      <w:r w:rsidRPr="001E3ACB">
        <w:t>Missing data are due to calibration events, power cuts or issues with the operation of the instruments</w:t>
      </w:r>
    </w:p>
    <w:p w14:paraId="3F3A515E" w14:textId="42CEBF98" w:rsidR="001E3ACB" w:rsidRPr="001E3ACB" w:rsidRDefault="001E3ACB" w:rsidP="00CA338B">
      <w:pPr>
        <w:pStyle w:val="ListParagraph"/>
        <w:numPr>
          <w:ilvl w:val="0"/>
          <w:numId w:val="19"/>
        </w:numPr>
      </w:pPr>
      <w:r>
        <w:t>QA/QC analysis for AMS data follow</w:t>
      </w:r>
      <w:r w:rsidR="004E5F70">
        <w:t>ed</w:t>
      </w:r>
      <w:r>
        <w:t xml:space="preserve"> the reanalysis steps detailed in the AMS-ACSM users procedures developed by Aerodyne Research Ltd, University of Colorado and </w:t>
      </w:r>
      <w:proofErr w:type="spellStart"/>
      <w:r>
        <w:t>Tofwerk</w:t>
      </w:r>
      <w:proofErr w:type="spellEnd"/>
    </w:p>
    <w:p w14:paraId="22C14193" w14:textId="0771DD2B" w:rsidR="00D610B2" w:rsidRDefault="00D610B2" w:rsidP="001B3490">
      <w:pPr>
        <w:pStyle w:val="Heading1"/>
      </w:pPr>
      <w:bookmarkStart w:id="10" w:name="_Toc167878285"/>
      <w:r>
        <w:t>Acknowledgement</w:t>
      </w:r>
    </w:p>
    <w:p w14:paraId="12E4B456" w14:textId="64847448" w:rsidR="00D610B2" w:rsidRPr="00D610B2" w:rsidRDefault="00D610B2" w:rsidP="00D610B2">
      <w:r>
        <w:t xml:space="preserve">UK Black Carbon network measurement data for Glasgow Townhead and </w:t>
      </w:r>
      <w:proofErr w:type="spellStart"/>
      <w:r>
        <w:t>Auchencorth</w:t>
      </w:r>
      <w:proofErr w:type="spellEnd"/>
      <w:r>
        <w:t xml:space="preserve"> Moss were obtained from uk-air.defra.gov.uk. </w:t>
      </w:r>
      <w:r w:rsidRPr="00D610B2">
        <w:t>© Crown copyright 2021 Defra via uk-air.defra.gov.uk, licensed under the </w:t>
      </w:r>
      <w:hyperlink r:id="rId22" w:history="1">
        <w:r w:rsidRPr="00D610B2">
          <w:rPr>
            <w:rStyle w:val="Hyperlink"/>
          </w:rPr>
          <w:t>Open Government Licence</w:t>
        </w:r>
      </w:hyperlink>
      <w:r w:rsidRPr="00D610B2">
        <w:t>.</w:t>
      </w:r>
    </w:p>
    <w:p w14:paraId="3B504EC0" w14:textId="395F9418" w:rsidR="001E3ACB" w:rsidRPr="00C75B2F" w:rsidRDefault="001E3ACB" w:rsidP="001B3490">
      <w:pPr>
        <w:pStyle w:val="Heading1"/>
        <w:rPr>
          <w:color w:val="A6A6A6" w:themeColor="background1" w:themeShade="A6"/>
        </w:rPr>
      </w:pPr>
      <w:r w:rsidRPr="00190CA3">
        <w:lastRenderedPageBreak/>
        <w:t>References</w:t>
      </w:r>
      <w:bookmarkEnd w:id="10"/>
    </w:p>
    <w:p w14:paraId="2C8700AE" w14:textId="28CDA422" w:rsidR="001E3ACB" w:rsidRPr="001E3ACB" w:rsidRDefault="00DE4CDE" w:rsidP="00DE4CDE">
      <w:pPr>
        <w:divId w:val="118841436"/>
      </w:pPr>
      <w:r w:rsidRPr="00DE4CDE">
        <w:rPr>
          <w:rStyle w:val="csl-entry"/>
          <w:rFonts w:ascii="Calibri" w:hAnsi="Calibri" w:cs="Calibri"/>
          <w:color w:val="000000"/>
        </w:rPr>
        <w:t>Font, A., Ciupek, K., Butterfield, D. and Fuller, G. W.: Long-term trends in particulate matter from wood burning in the United Kingdom: Dependence on weather and social factors., Environ. Pollut., 314, 120105, https://doi.org/10.1016/j.envpol.2022.120105, 2022.</w:t>
      </w:r>
    </w:p>
    <w:p w14:paraId="47763C0C" w14:textId="6D589E38" w:rsidR="00DE4CDE" w:rsidRDefault="00DE4CDE" w:rsidP="00DE4CDE">
      <w:pPr>
        <w:divId w:val="118841436"/>
      </w:pPr>
      <w:r w:rsidRPr="00DE4CDE">
        <w:t>Nemitz, E</w:t>
      </w:r>
      <w:r>
        <w:t>.</w:t>
      </w:r>
      <w:r w:rsidRPr="00DE4CDE">
        <w:t>; Di Marco, C</w:t>
      </w:r>
      <w:r>
        <w:t>.</w:t>
      </w:r>
      <w:r w:rsidRPr="00DE4CDE">
        <w:t xml:space="preserve"> F.; Hood, C</w:t>
      </w:r>
      <w:r>
        <w:t>.</w:t>
      </w:r>
      <w:r w:rsidRPr="00DE4CDE">
        <w:t>; Vieno, M</w:t>
      </w:r>
      <w:r>
        <w:t>.</w:t>
      </w:r>
      <w:r w:rsidRPr="00DE4CDE">
        <w:t>; Pearson, C</w:t>
      </w:r>
      <w:r>
        <w:t>.</w:t>
      </w:r>
      <w:r w:rsidRPr="00DE4CDE">
        <w:t>; Carnell, E</w:t>
      </w:r>
      <w:r>
        <w:t>.</w:t>
      </w:r>
      <w:r w:rsidRPr="00DE4CDE">
        <w:t>; Cash, J</w:t>
      </w:r>
      <w:r>
        <w:t>.</w:t>
      </w:r>
      <w:r w:rsidRPr="00DE4CDE">
        <w:t>; Mullinger, N</w:t>
      </w:r>
      <w:r>
        <w:t>.</w:t>
      </w:r>
      <w:r w:rsidRPr="00DE4CDE">
        <w:t>; Tomlinson, S. 2025 The contribution of indoor domestic solid fuel burning to Scotland’s air pollution. Final report to Scottish Government. Edinburgh, UK Centre for Ecology &amp; Hydrology, 89pp.</w:t>
      </w:r>
      <w:r>
        <w:t xml:space="preserve"> </w:t>
      </w:r>
      <w:r w:rsidRPr="00DE4CDE">
        <w:t>https://nora.nerc.ac.uk/id/eprint/540833/</w:t>
      </w:r>
    </w:p>
    <w:p w14:paraId="5231F118" w14:textId="3B0FD061" w:rsidR="001E3ACB" w:rsidRPr="001E3ACB" w:rsidRDefault="00DE4CDE" w:rsidP="00DE4CDE">
      <w:pPr>
        <w:divId w:val="118841436"/>
      </w:pPr>
      <w:proofErr w:type="spellStart"/>
      <w:r w:rsidRPr="00DE4CDE">
        <w:rPr>
          <w:rStyle w:val="csl-entry"/>
          <w:rFonts w:ascii="Calibri" w:hAnsi="Calibri" w:cs="Calibri"/>
          <w:color w:val="000000"/>
        </w:rPr>
        <w:t>Paatero</w:t>
      </w:r>
      <w:proofErr w:type="spellEnd"/>
      <w:r w:rsidRPr="00DE4CDE">
        <w:rPr>
          <w:rStyle w:val="csl-entry"/>
          <w:rFonts w:ascii="Calibri" w:hAnsi="Calibri" w:cs="Calibri"/>
          <w:color w:val="000000"/>
        </w:rPr>
        <w:t xml:space="preserve">, P. and Tapper, U.: Positive matrix factorization: A non-negative factor model with optimal utilization of error estimates of data values, </w:t>
      </w:r>
      <w:proofErr w:type="spellStart"/>
      <w:r w:rsidRPr="00DE4CDE">
        <w:rPr>
          <w:rStyle w:val="csl-entry"/>
          <w:rFonts w:ascii="Calibri" w:hAnsi="Calibri" w:cs="Calibri"/>
          <w:color w:val="000000"/>
        </w:rPr>
        <w:t>Environmetrics</w:t>
      </w:r>
      <w:proofErr w:type="spellEnd"/>
      <w:r w:rsidRPr="00DE4CDE">
        <w:rPr>
          <w:rStyle w:val="csl-entry"/>
          <w:rFonts w:ascii="Calibri" w:hAnsi="Calibri" w:cs="Calibri"/>
          <w:color w:val="000000"/>
        </w:rPr>
        <w:t>, 5(2), 111–126, https://doi.org/10.1002/env.3170050203, 1994.</w:t>
      </w:r>
    </w:p>
    <w:p w14:paraId="60FB1669" w14:textId="3E3F5400" w:rsidR="001E3ACB" w:rsidRPr="001E3ACB" w:rsidRDefault="00DE4CDE" w:rsidP="00DE4CDE">
      <w:pPr>
        <w:divId w:val="118841436"/>
      </w:pPr>
      <w:proofErr w:type="spellStart"/>
      <w:r w:rsidRPr="00DE4CDE">
        <w:rPr>
          <w:rStyle w:val="csl-entry"/>
          <w:rFonts w:ascii="Calibri" w:hAnsi="Calibri" w:cs="Calibri"/>
          <w:color w:val="000000"/>
        </w:rPr>
        <w:t>Sandradewi</w:t>
      </w:r>
      <w:proofErr w:type="spellEnd"/>
      <w:r w:rsidRPr="00DE4CDE">
        <w:rPr>
          <w:rStyle w:val="csl-entry"/>
          <w:rFonts w:ascii="Calibri" w:hAnsi="Calibri" w:cs="Calibri"/>
          <w:color w:val="000000"/>
        </w:rPr>
        <w:t>, J., Prévôt, A. S. H., Szidat, S., Perron, N., Alfarra, M. R., Lanz, V. A., Weingartner, E. and Baltensperger, U.: Using aerosol light absorption measurements for the quantitative determination of wood burning and traffic emission contributions to particulate matter., Environ. Sci. Technol., 42(9), 3316–3323, https://doi.org/10.1021/es702253m, 2008.</w:t>
      </w:r>
    </w:p>
    <w:p w14:paraId="1B979B2E" w14:textId="77777777" w:rsidR="001E3ACB" w:rsidRPr="001E3ACB" w:rsidRDefault="001E3ACB" w:rsidP="00DE4CDE">
      <w:pPr>
        <w:divId w:val="118841436"/>
      </w:pPr>
      <w:hyperlink r:id="rId23" w:history="1">
        <w:r w:rsidRPr="001E3ACB">
          <w:rPr>
            <w:rStyle w:val="csl-entry"/>
            <w:rFonts w:ascii="Calibri" w:hAnsi="Calibri" w:cs="Calibri"/>
            <w:color w:val="000000"/>
          </w:rPr>
          <w:t>Savadkoohi, M., Pandolfi, M., Favez, O., Putaud, J.-P., Eleftheriadis, K., Fiebig, M., Hopke, P. K., Laj, P., Wiedensohler, A., Alados-Arboledas, L., Bastian, S., Chazeau, B., María, Á. C., Colombi, C., Costabile, F., Green, D. C., Hueglin, C., Liakakou, E., Luoma, K., Listrani, S., Mihalopoulos, N., Marchand, N., Močnik, G., Niemi, J. V., Ondráček, J., Petit, J.-E., Rattigan, O. V., Reche, C., Timonen, H., Titos, G., Tremper, A. H., Vratolis, S., Vodička, P., Funes, E. Y., Zíková, N., Harrison, R. M., Petäjä, T., Alastuey, A. and Querol, X.: Recommendations for reporting equivalent black carbon (eBC) mass concentrations based on long-term pan-European in-situ observations., Environ. Int., 185, 108553, https://doi.org/10.1016/j.envint.2024.108553, 2024.</w:t>
        </w:r>
      </w:hyperlink>
    </w:p>
    <w:p w14:paraId="12EA0028" w14:textId="2228EFCE" w:rsidR="001E3ACB" w:rsidRPr="001E3ACB" w:rsidRDefault="001E3ACB" w:rsidP="00DE4CDE">
      <w:hyperlink r:id="rId24" w:history="1">
        <w:r w:rsidRPr="001E3ACB">
          <w:rPr>
            <w:rStyle w:val="csl-entry"/>
            <w:rFonts w:ascii="Calibri" w:hAnsi="Calibri" w:cs="Calibri"/>
            <w:color w:val="000000"/>
          </w:rPr>
          <w:t>Ulbrich, I. M., Canagaratna, M. R., Zhang, Q., Worsnop, D. R. and Jimenez, J. L.: Interpretation of organic components from Positive Matrix Factorization of aerosol mass spectrometric data, Atmospheric Chemistry and Physics, 9(9), 2891–2918, https://doi.org/10.5194/acp-9-2891-2009, 2009.</w:t>
        </w:r>
      </w:hyperlink>
      <w:r w:rsidRPr="001E3ACB">
        <w:t xml:space="preserve"> </w:t>
      </w:r>
    </w:p>
    <w:sectPr w:rsidR="001E3ACB" w:rsidRPr="001E3ACB" w:rsidSect="005E4D18">
      <w:headerReference w:type="default" r:id="rId25"/>
      <w:footerReference w:type="default" r:id="rId26"/>
      <w:pgSz w:w="12240" w:h="15840"/>
      <w:pgMar w:top="1440"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Christina Hood" w:date="2025-11-18T09:20:00Z" w:initials="CH">
    <w:p w14:paraId="24D1F866" w14:textId="77777777" w:rsidR="00FC491E" w:rsidRDefault="00FC491E" w:rsidP="00FC491E">
      <w:pPr>
        <w:pStyle w:val="CommentText"/>
      </w:pPr>
      <w:r>
        <w:rPr>
          <w:rStyle w:val="CommentReference"/>
        </w:rPr>
        <w:annotationRef/>
      </w:r>
      <w:r>
        <w:t>Punctuation and spacing inconsistent with previous acronym definition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D1F86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A6CC83" w16cex:dateUtc="2025-11-18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D1F866" w16cid:durableId="31A6CC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8114" w14:textId="77777777" w:rsidR="008B43B2" w:rsidRDefault="008B43B2" w:rsidP="006E6CFB">
      <w:pPr>
        <w:spacing w:after="0" w:line="240" w:lineRule="auto"/>
      </w:pPr>
      <w:r>
        <w:separator/>
      </w:r>
    </w:p>
  </w:endnote>
  <w:endnote w:type="continuationSeparator" w:id="0">
    <w:p w14:paraId="57EFA899" w14:textId="77777777" w:rsidR="008B43B2" w:rsidRDefault="008B43B2" w:rsidP="006E6CFB">
      <w:pPr>
        <w:spacing w:after="0" w:line="240" w:lineRule="auto"/>
      </w:pPr>
      <w:r>
        <w:continuationSeparator/>
      </w:r>
    </w:p>
  </w:endnote>
  <w:endnote w:type="continuationNotice" w:id="1">
    <w:p w14:paraId="1A999FBC" w14:textId="77777777" w:rsidR="008B43B2" w:rsidRDefault="008B4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F71DB" w14:textId="77777777" w:rsidR="008B43B2" w:rsidRDefault="008B43B2" w:rsidP="006E6CFB">
      <w:pPr>
        <w:spacing w:after="0" w:line="240" w:lineRule="auto"/>
      </w:pPr>
      <w:r>
        <w:separator/>
      </w:r>
    </w:p>
  </w:footnote>
  <w:footnote w:type="continuationSeparator" w:id="0">
    <w:p w14:paraId="10966D19" w14:textId="77777777" w:rsidR="008B43B2" w:rsidRDefault="008B43B2" w:rsidP="006E6CFB">
      <w:pPr>
        <w:spacing w:after="0" w:line="240" w:lineRule="auto"/>
      </w:pPr>
      <w:r>
        <w:continuationSeparator/>
      </w:r>
    </w:p>
  </w:footnote>
  <w:footnote w:type="continuationNotice" w:id="1">
    <w:p w14:paraId="470CB099" w14:textId="77777777" w:rsidR="008B43B2" w:rsidRDefault="008B4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EA9B7" w14:textId="77777777" w:rsidR="00D054CC" w:rsidRPr="00205849" w:rsidRDefault="00D054CC" w:rsidP="00D054CC">
    <w:pPr>
      <w:pStyle w:val="pf0"/>
      <w:spacing w:line="276" w:lineRule="auto"/>
      <w:rPr>
        <w:rFonts w:asciiTheme="minorHAnsi" w:hAnsiTheme="minorHAnsi" w:cstheme="minorHAnsi"/>
        <w:sz w:val="22"/>
        <w:szCs w:val="22"/>
      </w:rPr>
    </w:pPr>
    <w:r w:rsidRPr="00205849">
      <w:rPr>
        <w:rFonts w:asciiTheme="minorHAnsi" w:hAnsiTheme="minorHAnsi" w:cstheme="minorHAnsi"/>
        <w:sz w:val="22"/>
        <w:szCs w:val="22"/>
      </w:rPr>
      <w:t>Measured air pollutant concentrations from solid fuel burning in Scotland 2023-2024</w:t>
    </w:r>
  </w:p>
  <w:p w14:paraId="545F24C0" w14:textId="2B3F9B89" w:rsidR="00BD1524" w:rsidRPr="001B3490" w:rsidRDefault="001B3490" w:rsidP="001B3490">
    <w:pPr>
      <w:pStyle w:val="Header"/>
      <w:tabs>
        <w:tab w:val="clear" w:pos="4513"/>
        <w:tab w:val="clear" w:pos="9026"/>
        <w:tab w:val="right" w:pos="9356"/>
      </w:tabs>
      <w:rPr>
        <w:sz w:val="18"/>
        <w:szCs w:val="18"/>
      </w:rPr>
    </w:pPr>
    <w:r w:rsidRPr="001B3490">
      <w:rPr>
        <w:sz w:val="18"/>
        <w:szCs w:val="18"/>
      </w:rPr>
      <w:tab/>
    </w:r>
    <w:r w:rsidR="00BD1524"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836EF"/>
    <w:multiLevelType w:val="hybridMultilevel"/>
    <w:tmpl w:val="6E3A490C"/>
    <w:lvl w:ilvl="0" w:tplc="CE1A4F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42C14D0"/>
    <w:multiLevelType w:val="hybridMultilevel"/>
    <w:tmpl w:val="62E2D888"/>
    <w:lvl w:ilvl="0" w:tplc="CE1A4F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5"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6"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8"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0"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7"/>
  </w:num>
  <w:num w:numId="2" w16cid:durableId="302464183">
    <w:abstractNumId w:val="19"/>
  </w:num>
  <w:num w:numId="3" w16cid:durableId="1000501271">
    <w:abstractNumId w:val="18"/>
  </w:num>
  <w:num w:numId="4" w16cid:durableId="1465926052">
    <w:abstractNumId w:val="16"/>
  </w:num>
  <w:num w:numId="5" w16cid:durableId="1164324749">
    <w:abstractNumId w:val="13"/>
  </w:num>
  <w:num w:numId="6" w16cid:durableId="1267078203">
    <w:abstractNumId w:val="10"/>
  </w:num>
  <w:num w:numId="7" w16cid:durableId="1836413933">
    <w:abstractNumId w:val="14"/>
  </w:num>
  <w:num w:numId="8" w16cid:durableId="1934195830">
    <w:abstractNumId w:val="4"/>
  </w:num>
  <w:num w:numId="9" w16cid:durableId="1394086590">
    <w:abstractNumId w:val="9"/>
  </w:num>
  <w:num w:numId="10" w16cid:durableId="811483754">
    <w:abstractNumId w:val="11"/>
  </w:num>
  <w:num w:numId="11" w16cid:durableId="724453486">
    <w:abstractNumId w:val="17"/>
  </w:num>
  <w:num w:numId="12" w16cid:durableId="1073773020">
    <w:abstractNumId w:val="1"/>
  </w:num>
  <w:num w:numId="13" w16cid:durableId="1798135508">
    <w:abstractNumId w:val="15"/>
  </w:num>
  <w:num w:numId="14" w16cid:durableId="1501114818">
    <w:abstractNumId w:val="2"/>
  </w:num>
  <w:num w:numId="15" w16cid:durableId="61753189">
    <w:abstractNumId w:val="5"/>
  </w:num>
  <w:num w:numId="16" w16cid:durableId="355346679">
    <w:abstractNumId w:val="12"/>
  </w:num>
  <w:num w:numId="17" w16cid:durableId="2072998494">
    <w:abstractNumId w:val="6"/>
  </w:num>
  <w:num w:numId="18" w16cid:durableId="459804193">
    <w:abstractNumId w:val="20"/>
  </w:num>
  <w:num w:numId="19" w16cid:durableId="481120885">
    <w:abstractNumId w:val="0"/>
  </w:num>
  <w:num w:numId="20" w16cid:durableId="440878847">
    <w:abstractNumId w:val="3"/>
  </w:num>
  <w:num w:numId="21" w16cid:durableId="190899919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a Hood">
    <w15:presenceInfo w15:providerId="AD" w15:userId="S::chrhoo@ceh.ac.uk::947d86b1-63a4-42bf-8026-c290430381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1360"/>
    <w:rsid w:val="000152A1"/>
    <w:rsid w:val="00015EED"/>
    <w:rsid w:val="000164AE"/>
    <w:rsid w:val="00025A18"/>
    <w:rsid w:val="00031B53"/>
    <w:rsid w:val="00031BAC"/>
    <w:rsid w:val="00063A87"/>
    <w:rsid w:val="000722FB"/>
    <w:rsid w:val="0007302F"/>
    <w:rsid w:val="00096153"/>
    <w:rsid w:val="000A0954"/>
    <w:rsid w:val="000D0C73"/>
    <w:rsid w:val="000E0F95"/>
    <w:rsid w:val="000E3CFE"/>
    <w:rsid w:val="000E569C"/>
    <w:rsid w:val="000E6CB7"/>
    <w:rsid w:val="000F0D56"/>
    <w:rsid w:val="000F4D72"/>
    <w:rsid w:val="00111381"/>
    <w:rsid w:val="00114EC9"/>
    <w:rsid w:val="00115A90"/>
    <w:rsid w:val="00117B7F"/>
    <w:rsid w:val="001256B4"/>
    <w:rsid w:val="00125C34"/>
    <w:rsid w:val="00127A90"/>
    <w:rsid w:val="00133AE0"/>
    <w:rsid w:val="00141613"/>
    <w:rsid w:val="001417EC"/>
    <w:rsid w:val="00145281"/>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E3ACB"/>
    <w:rsid w:val="001E41C1"/>
    <w:rsid w:val="00203BAD"/>
    <w:rsid w:val="00205849"/>
    <w:rsid w:val="002068B8"/>
    <w:rsid w:val="0020794C"/>
    <w:rsid w:val="002116C9"/>
    <w:rsid w:val="00213E5D"/>
    <w:rsid w:val="002208AE"/>
    <w:rsid w:val="00233F5E"/>
    <w:rsid w:val="00235B7E"/>
    <w:rsid w:val="002373EB"/>
    <w:rsid w:val="00253BDE"/>
    <w:rsid w:val="002662D7"/>
    <w:rsid w:val="00271A7D"/>
    <w:rsid w:val="0027333F"/>
    <w:rsid w:val="00275BD8"/>
    <w:rsid w:val="002811FD"/>
    <w:rsid w:val="00285A6E"/>
    <w:rsid w:val="002914AA"/>
    <w:rsid w:val="002964AC"/>
    <w:rsid w:val="002B049F"/>
    <w:rsid w:val="002B0554"/>
    <w:rsid w:val="002B0E83"/>
    <w:rsid w:val="002B77DE"/>
    <w:rsid w:val="002E1184"/>
    <w:rsid w:val="002E33E5"/>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6632E"/>
    <w:rsid w:val="00473143"/>
    <w:rsid w:val="0048030F"/>
    <w:rsid w:val="004856AF"/>
    <w:rsid w:val="00485DDD"/>
    <w:rsid w:val="00491590"/>
    <w:rsid w:val="004A16C5"/>
    <w:rsid w:val="004A2D00"/>
    <w:rsid w:val="004B0D1B"/>
    <w:rsid w:val="004B34C0"/>
    <w:rsid w:val="004B6FA1"/>
    <w:rsid w:val="004C2AF9"/>
    <w:rsid w:val="004C35F2"/>
    <w:rsid w:val="004C6D98"/>
    <w:rsid w:val="004D6F86"/>
    <w:rsid w:val="004E5F70"/>
    <w:rsid w:val="004F1F34"/>
    <w:rsid w:val="004F59B2"/>
    <w:rsid w:val="005011C7"/>
    <w:rsid w:val="00506B68"/>
    <w:rsid w:val="00512C6B"/>
    <w:rsid w:val="0051734A"/>
    <w:rsid w:val="00524648"/>
    <w:rsid w:val="005269AD"/>
    <w:rsid w:val="00537CD5"/>
    <w:rsid w:val="00541CB5"/>
    <w:rsid w:val="0055686B"/>
    <w:rsid w:val="00563A72"/>
    <w:rsid w:val="00565AEB"/>
    <w:rsid w:val="00566855"/>
    <w:rsid w:val="00566B7E"/>
    <w:rsid w:val="005725D2"/>
    <w:rsid w:val="00574AC8"/>
    <w:rsid w:val="005835A5"/>
    <w:rsid w:val="0059054F"/>
    <w:rsid w:val="00590618"/>
    <w:rsid w:val="00593AC8"/>
    <w:rsid w:val="00595F52"/>
    <w:rsid w:val="005A0217"/>
    <w:rsid w:val="005B161E"/>
    <w:rsid w:val="005C4F92"/>
    <w:rsid w:val="005D4A48"/>
    <w:rsid w:val="005D5DE9"/>
    <w:rsid w:val="005E3B57"/>
    <w:rsid w:val="005E4793"/>
    <w:rsid w:val="005E4D18"/>
    <w:rsid w:val="005E7F63"/>
    <w:rsid w:val="00603118"/>
    <w:rsid w:val="006227E2"/>
    <w:rsid w:val="0062571B"/>
    <w:rsid w:val="00630012"/>
    <w:rsid w:val="00640A97"/>
    <w:rsid w:val="00641B06"/>
    <w:rsid w:val="00646FD4"/>
    <w:rsid w:val="00651AD5"/>
    <w:rsid w:val="00661864"/>
    <w:rsid w:val="00665666"/>
    <w:rsid w:val="0066665B"/>
    <w:rsid w:val="00670E58"/>
    <w:rsid w:val="0067448C"/>
    <w:rsid w:val="00674DC6"/>
    <w:rsid w:val="00680DAB"/>
    <w:rsid w:val="00682C00"/>
    <w:rsid w:val="0068381C"/>
    <w:rsid w:val="006845D2"/>
    <w:rsid w:val="00692EFD"/>
    <w:rsid w:val="0069706D"/>
    <w:rsid w:val="006A36EE"/>
    <w:rsid w:val="006A5308"/>
    <w:rsid w:val="006B35AA"/>
    <w:rsid w:val="006C14C2"/>
    <w:rsid w:val="006C3023"/>
    <w:rsid w:val="006D10C2"/>
    <w:rsid w:val="006D1B63"/>
    <w:rsid w:val="006D49F9"/>
    <w:rsid w:val="006E18D1"/>
    <w:rsid w:val="006E3FA9"/>
    <w:rsid w:val="006E6CFB"/>
    <w:rsid w:val="006F7666"/>
    <w:rsid w:val="00701D25"/>
    <w:rsid w:val="00702A39"/>
    <w:rsid w:val="00705EC8"/>
    <w:rsid w:val="007117C2"/>
    <w:rsid w:val="00714357"/>
    <w:rsid w:val="007223EC"/>
    <w:rsid w:val="00723EAA"/>
    <w:rsid w:val="007401E3"/>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4502"/>
    <w:rsid w:val="00806E88"/>
    <w:rsid w:val="00831DA2"/>
    <w:rsid w:val="008331C5"/>
    <w:rsid w:val="00857AEA"/>
    <w:rsid w:val="0088257B"/>
    <w:rsid w:val="00894F47"/>
    <w:rsid w:val="00895D91"/>
    <w:rsid w:val="008A0746"/>
    <w:rsid w:val="008B25E3"/>
    <w:rsid w:val="008B43B2"/>
    <w:rsid w:val="008B478F"/>
    <w:rsid w:val="008B48A8"/>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555B"/>
    <w:rsid w:val="00957B80"/>
    <w:rsid w:val="00961388"/>
    <w:rsid w:val="00966D02"/>
    <w:rsid w:val="0097130F"/>
    <w:rsid w:val="00980EE4"/>
    <w:rsid w:val="00984932"/>
    <w:rsid w:val="00990B43"/>
    <w:rsid w:val="00992B4F"/>
    <w:rsid w:val="009946C2"/>
    <w:rsid w:val="0099530A"/>
    <w:rsid w:val="00997265"/>
    <w:rsid w:val="009A3EDE"/>
    <w:rsid w:val="009A4FB8"/>
    <w:rsid w:val="009B381F"/>
    <w:rsid w:val="009B4289"/>
    <w:rsid w:val="009B5DCC"/>
    <w:rsid w:val="009C2F96"/>
    <w:rsid w:val="009C6425"/>
    <w:rsid w:val="009D415D"/>
    <w:rsid w:val="009D4947"/>
    <w:rsid w:val="009D5A7C"/>
    <w:rsid w:val="009E77C9"/>
    <w:rsid w:val="00A0182D"/>
    <w:rsid w:val="00A1180E"/>
    <w:rsid w:val="00A11CAE"/>
    <w:rsid w:val="00A1594A"/>
    <w:rsid w:val="00A204A3"/>
    <w:rsid w:val="00A2423D"/>
    <w:rsid w:val="00A377D1"/>
    <w:rsid w:val="00A40FB9"/>
    <w:rsid w:val="00A51EFA"/>
    <w:rsid w:val="00A532C3"/>
    <w:rsid w:val="00A545BF"/>
    <w:rsid w:val="00A63F05"/>
    <w:rsid w:val="00A64114"/>
    <w:rsid w:val="00A67493"/>
    <w:rsid w:val="00A72986"/>
    <w:rsid w:val="00A8020E"/>
    <w:rsid w:val="00A94335"/>
    <w:rsid w:val="00A96054"/>
    <w:rsid w:val="00AB0268"/>
    <w:rsid w:val="00AB50C1"/>
    <w:rsid w:val="00AB5824"/>
    <w:rsid w:val="00AB770F"/>
    <w:rsid w:val="00AD0352"/>
    <w:rsid w:val="00AD2999"/>
    <w:rsid w:val="00AD3F1B"/>
    <w:rsid w:val="00AD7115"/>
    <w:rsid w:val="00AE4220"/>
    <w:rsid w:val="00AE4646"/>
    <w:rsid w:val="00AE6AE9"/>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4C6A"/>
    <w:rsid w:val="00B56705"/>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10A"/>
    <w:rsid w:val="00BD1524"/>
    <w:rsid w:val="00BD425D"/>
    <w:rsid w:val="00BD4316"/>
    <w:rsid w:val="00BD7CCC"/>
    <w:rsid w:val="00BE4A98"/>
    <w:rsid w:val="00C1474A"/>
    <w:rsid w:val="00C21E96"/>
    <w:rsid w:val="00C24162"/>
    <w:rsid w:val="00C2691F"/>
    <w:rsid w:val="00C32939"/>
    <w:rsid w:val="00C35E4D"/>
    <w:rsid w:val="00C37065"/>
    <w:rsid w:val="00C40363"/>
    <w:rsid w:val="00C45430"/>
    <w:rsid w:val="00C57092"/>
    <w:rsid w:val="00C6494C"/>
    <w:rsid w:val="00C75B2F"/>
    <w:rsid w:val="00C77084"/>
    <w:rsid w:val="00C95F3D"/>
    <w:rsid w:val="00C96BFA"/>
    <w:rsid w:val="00C973C3"/>
    <w:rsid w:val="00CA338B"/>
    <w:rsid w:val="00CA6156"/>
    <w:rsid w:val="00CA7F67"/>
    <w:rsid w:val="00CC04A0"/>
    <w:rsid w:val="00CD23D9"/>
    <w:rsid w:val="00CD49C9"/>
    <w:rsid w:val="00CD6AFD"/>
    <w:rsid w:val="00CE2A18"/>
    <w:rsid w:val="00CE6E3D"/>
    <w:rsid w:val="00CF0E05"/>
    <w:rsid w:val="00D04772"/>
    <w:rsid w:val="00D054CC"/>
    <w:rsid w:val="00D055E8"/>
    <w:rsid w:val="00D12169"/>
    <w:rsid w:val="00D158E3"/>
    <w:rsid w:val="00D21262"/>
    <w:rsid w:val="00D228F7"/>
    <w:rsid w:val="00D26F05"/>
    <w:rsid w:val="00D377FE"/>
    <w:rsid w:val="00D41E7C"/>
    <w:rsid w:val="00D52967"/>
    <w:rsid w:val="00D53660"/>
    <w:rsid w:val="00D57CA7"/>
    <w:rsid w:val="00D610B2"/>
    <w:rsid w:val="00D63700"/>
    <w:rsid w:val="00D65119"/>
    <w:rsid w:val="00D72951"/>
    <w:rsid w:val="00D74A4D"/>
    <w:rsid w:val="00D80537"/>
    <w:rsid w:val="00D840D3"/>
    <w:rsid w:val="00D870D4"/>
    <w:rsid w:val="00D91CEA"/>
    <w:rsid w:val="00D94D27"/>
    <w:rsid w:val="00DA0A95"/>
    <w:rsid w:val="00DA3732"/>
    <w:rsid w:val="00DA5BB0"/>
    <w:rsid w:val="00DB79E0"/>
    <w:rsid w:val="00DC1359"/>
    <w:rsid w:val="00DC1BAB"/>
    <w:rsid w:val="00DD36E9"/>
    <w:rsid w:val="00DE0474"/>
    <w:rsid w:val="00DE4CDE"/>
    <w:rsid w:val="00DE7376"/>
    <w:rsid w:val="00DF2267"/>
    <w:rsid w:val="00DF4DBB"/>
    <w:rsid w:val="00DF7D5F"/>
    <w:rsid w:val="00E01648"/>
    <w:rsid w:val="00E11973"/>
    <w:rsid w:val="00E24DB1"/>
    <w:rsid w:val="00E31519"/>
    <w:rsid w:val="00E328C0"/>
    <w:rsid w:val="00E3455A"/>
    <w:rsid w:val="00E3535F"/>
    <w:rsid w:val="00E440EC"/>
    <w:rsid w:val="00E44921"/>
    <w:rsid w:val="00E47170"/>
    <w:rsid w:val="00E5033F"/>
    <w:rsid w:val="00E5134A"/>
    <w:rsid w:val="00E6597B"/>
    <w:rsid w:val="00E97A64"/>
    <w:rsid w:val="00EA25C2"/>
    <w:rsid w:val="00EB0324"/>
    <w:rsid w:val="00EB11D7"/>
    <w:rsid w:val="00EB1C11"/>
    <w:rsid w:val="00EB3EF5"/>
    <w:rsid w:val="00EC4827"/>
    <w:rsid w:val="00EC67F3"/>
    <w:rsid w:val="00ED0FED"/>
    <w:rsid w:val="00ED2756"/>
    <w:rsid w:val="00EE498D"/>
    <w:rsid w:val="00EF50C4"/>
    <w:rsid w:val="00F12982"/>
    <w:rsid w:val="00F1388A"/>
    <w:rsid w:val="00F17AD2"/>
    <w:rsid w:val="00F17CDC"/>
    <w:rsid w:val="00F402BB"/>
    <w:rsid w:val="00F55B4F"/>
    <w:rsid w:val="00F638BD"/>
    <w:rsid w:val="00F811A9"/>
    <w:rsid w:val="00F8125A"/>
    <w:rsid w:val="00F8126A"/>
    <w:rsid w:val="00F96DA2"/>
    <w:rsid w:val="00F97EB7"/>
    <w:rsid w:val="00FA301A"/>
    <w:rsid w:val="00FB0915"/>
    <w:rsid w:val="00FB1D18"/>
    <w:rsid w:val="00FC491E"/>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1E3ACB"/>
    <w:pPr>
      <w:keepLines w:val="0"/>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csl-entry">
    <w:name w:val="csl-entry"/>
    <w:basedOn w:val="DefaultParagraphFont"/>
    <w:rsid w:val="001E3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1436">
      <w:bodyDiv w:val="1"/>
      <w:marLeft w:val="0"/>
      <w:marRight w:val="0"/>
      <w:marTop w:val="0"/>
      <w:marBottom w:val="0"/>
      <w:divBdr>
        <w:top w:val="none" w:sz="0" w:space="0" w:color="auto"/>
        <w:left w:val="none" w:sz="0" w:space="0" w:color="auto"/>
        <w:bottom w:val="none" w:sz="0" w:space="0" w:color="auto"/>
        <w:right w:val="none" w:sz="0" w:space="0" w:color="auto"/>
      </w:divBdr>
    </w:div>
    <w:div w:id="340086754">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387071401">
      <w:bodyDiv w:val="1"/>
      <w:marLeft w:val="0"/>
      <w:marRight w:val="0"/>
      <w:marTop w:val="0"/>
      <w:marBottom w:val="0"/>
      <w:divBdr>
        <w:top w:val="none" w:sz="0" w:space="0" w:color="auto"/>
        <w:left w:val="none" w:sz="0" w:space="0" w:color="auto"/>
        <w:bottom w:val="none" w:sz="0" w:space="0" w:color="auto"/>
        <w:right w:val="none" w:sz="0" w:space="0" w:color="auto"/>
      </w:divBdr>
    </w:div>
    <w:div w:id="631248296">
      <w:bodyDiv w:val="1"/>
      <w:marLeft w:val="0"/>
      <w:marRight w:val="0"/>
      <w:marTop w:val="0"/>
      <w:marBottom w:val="0"/>
      <w:divBdr>
        <w:top w:val="none" w:sz="0" w:space="0" w:color="auto"/>
        <w:left w:val="none" w:sz="0" w:space="0" w:color="auto"/>
        <w:bottom w:val="none" w:sz="0" w:space="0" w:color="auto"/>
        <w:right w:val="none" w:sz="0" w:space="0" w:color="auto"/>
      </w:divBdr>
    </w:div>
    <w:div w:id="832529726">
      <w:bodyDiv w:val="1"/>
      <w:marLeft w:val="0"/>
      <w:marRight w:val="0"/>
      <w:marTop w:val="0"/>
      <w:marBottom w:val="0"/>
      <w:divBdr>
        <w:top w:val="none" w:sz="0" w:space="0" w:color="auto"/>
        <w:left w:val="none" w:sz="0" w:space="0" w:color="auto"/>
        <w:bottom w:val="none" w:sz="0" w:space="0" w:color="auto"/>
        <w:right w:val="none" w:sz="0" w:space="0" w:color="auto"/>
      </w:divBdr>
    </w:div>
    <w:div w:id="1159536687">
      <w:bodyDiv w:val="1"/>
      <w:marLeft w:val="0"/>
      <w:marRight w:val="0"/>
      <w:marTop w:val="0"/>
      <w:marBottom w:val="0"/>
      <w:divBdr>
        <w:top w:val="none" w:sz="0" w:space="0" w:color="auto"/>
        <w:left w:val="none" w:sz="0" w:space="0" w:color="auto"/>
        <w:bottom w:val="none" w:sz="0" w:space="0" w:color="auto"/>
        <w:right w:val="none" w:sz="0" w:space="0" w:color="auto"/>
      </w:divBdr>
    </w:div>
    <w:div w:id="1302878977">
      <w:bodyDiv w:val="1"/>
      <w:marLeft w:val="0"/>
      <w:marRight w:val="0"/>
      <w:marTop w:val="0"/>
      <w:marBottom w:val="0"/>
      <w:divBdr>
        <w:top w:val="none" w:sz="0" w:space="0" w:color="auto"/>
        <w:left w:val="none" w:sz="0" w:space="0" w:color="auto"/>
        <w:bottom w:val="none" w:sz="0" w:space="0" w:color="auto"/>
        <w:right w:val="none" w:sz="0" w:space="0" w:color="auto"/>
      </w:divBdr>
    </w:div>
    <w:div w:id="18288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sciwheel.com/work/citation?ids=4544271&amp;pre=&amp;suf=&amp;sa=0&amp;dbf=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uk-air.defra.gov.uk/" TargetMode="External"/><Relationship Id="rId7" Type="http://schemas.openxmlformats.org/officeDocument/2006/relationships/settings" Target="settings.xml"/><Relationship Id="rId12" Type="http://schemas.openxmlformats.org/officeDocument/2006/relationships/hyperlink" Target="https://aerosolmageesci.com/" TargetMode="External"/><Relationship Id="rId17" Type="http://schemas.openxmlformats.org/officeDocument/2006/relationships/hyperlink" Target="https://sciwheel.com/work/citation?ids=116262&amp;pre=&amp;suf=&amp;sa=0&amp;dbf=0" TargetMode="Externa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sciwheel.com/work/citation?ids=17495715&amp;pre=&amp;suf=&amp;sa=0&amp;dbf=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erodyne.com/" TargetMode="External"/><Relationship Id="rId24" Type="http://schemas.openxmlformats.org/officeDocument/2006/relationships/hyperlink" Target="https://sciwheel.com/work/bibliography/4544271"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sciwheel.com/work/bibliography/17495715"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sciwheel.com/work/citation?ids=7454658,14076786&amp;pre=&amp;pre=&amp;suf=&amp;suf=&amp;sa=0,0&amp;dbf=0&amp;db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www.nationalarchives.gov.uk/doc/open-government-licence/version/2/"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CE1AD1-91F2-46F8-B932-A803F5AACC9F}">
  <we:reference id="a504f697-cd57-482d-af3c-653ec8236b9b" version="7.0.0.1" store="EXCatalog" storeType="EXCatalog"/>
  <we:alternateReferences>
    <we:reference id="WA200002534" version="7.0.0.1" store="en-GB" storeType="OMEX"/>
  </we:alternateReferences>
  <we:properties>
    <we:property name="sciwheel-csl-items" value="[{&quot;title&quot;:&quot;Positive matrix factorization: A non-negative factor model with optimal utilization of error estimates of data values&quot;,&quot;page&quot;:&quot;111-126&quot;,&quot;volume&quot;:&quot;5&quot;,&quot;issue&quot;:&quot;2&quot;,&quot;journalAbbreviation&quot;:&quot;Environmetrics&quot;,&quot;id&quot;:&quot;116262&quot;,&quot;type&quot;:&quot;article-journal&quot;,&quot;container-title&quot;:&quot;Environmetrics (London, Ont.)&quot;,&quot;container-title-short&quot;:&quot;Environmetrics&quot;,&quot;author&quot;:[{&quot;family&quot;:&quot;Paatero&quot;,&quot;given&quot;:&quot;Pentti&quot;},{&quot;family&quot;:&quot;Tapper&quot;,&quot;given&quot;:&quot;Unto&quot;}],&quot;issued&quot;:{&quot;date-parts&quot;:[[&quot;1994&quot;,&quot;6&quot;]]},&quot;DOI&quot;:&quot;10.1002/env.3170050203&quot;,&quot;citation-label&quot;:&quot;116262&quot;},{&quot;title&quot;:&quot;Interpretation of organic components from Positive Matrix Factorization of aerosol mass spectrometric data&quot;,&quot;page&quot;:&quot;2891-2918&quot;,&quot;volume&quot;:&quot;9&quot;,&quot;issue&quot;:&quot;9&quot;,&quot;journalAbbreviation&quot;:&quot;Atmospheric Chemistry and Physics&quot;,&quot;id&quot;:&quot;4544271&quot;,&quot;type&quot;:&quot;article-journal&quot;,&quot;container-title&quot;:&quot;Atmospheric Chemistry and Physics&quot;,&quot;container-title-short&quot;:&quot;Atmospheric Chemistry and Physics&quot;,&quot;author&quot;:[{&quot;family&quot;:&quot;Ulbrich&quot;,&quot;given&quot;:&quot;I M&quot;},{&quot;family&quot;:&quot;Canagaratna&quot;,&quot;given&quot;:&quot;M R&quot;},{&quot;family&quot;:&quot;Zhang&quot;,&quot;given&quot;:&quot;Q&quot;},{&quot;family&quot;:&quot;Worsnop&quot;,&quot;given&quot;:&quot;D R&quot;},{&quot;family&quot;:&quot;Jimenez&quot;,&quot;given&quot;:&quot;J L&quot;}],&quot;issued&quot;:{&quot;date-parts&quot;:[[&quot;2009&quot;,&quot;5&quot;,&quot;5&quot;]]},&quot;DOI&quot;:&quot;10.5194/acp-9-2891-2009&quot;,&quot;citation-label&quot;:&quot;4544271&quot;},{&quot;title&quot;:&quot;Using aerosol light absorption measurements for the quantitative determination of wood burning and traffic emission contributions to particulate matter.&quot;,&quot;page&quot;:&quot;3316-3323&quot;,&quot;volume&quot;:&quot;42&quot;,&quot;issue&quot;:&quot;9&quot;,&quot;journalAbbreviation&quot;:&quot;Environ. Sci. Technol.&quot;,&quot;id&quot;:&quot;7454658&quot;,&quot;type&quot;:&quot;article-journal&quot;,&quot;container-title&quot;:&quot;Environmental Science &amp; Technology&quot;,&quot;container-title-short&quot;:&quot;Environ. Sci. Technol.&quot;,&quot;abstract&quot;:&quot;A source apportionment study was performed for particulate matter in the small village of Roveredo, Switzerland, where more than 70% of the households use wood burning for heating purposes. A two-lane trans-Alpine highway passes through the village and contributes to the total aerosol burden in the area. The village is located in a steep Alpine valley characterized by strong and persistent temperature inversions during winter, especially from December to February. During two winter and one early spring campaigns, a seven-wavelength aethalometer, high volume (HIVOL) samplers, an Aerodyne quadrupole aerosol mass spectrometer (AMS), an optical particle counter (OPC), and a Sunset Laboratory OCEC analyzer were deployed to study the contribution of wood burning and traffic aerosols to particulate matter. A linear regression model of the carbonaceous particulate mass in the submicrometer size range CM(PM1) as a function of aerosol light absorption properties measured by the aethalometer is introduced to estimate the particulate mass from wood burning and traffic (PM(wb), PM(traffic)). This model was calibrated with analyses from the 14C method using HIVOL filter measurements. These results indicate that light absorption exponents of 1.1 for traffic and 1.8-1.9 for wood burning calculated from the light absorption at 470 and 950 nanometers should be used to obtain agreement of the two methods regarding the relative wood burning and traffic emission contributions to CM(PM1) and also to black carbon. The resulting PM(wb) and PM(traffic) values explain 86% of the variance of the CM(PM1) and contribute, on average, 88 and 12% to CM(PM1), respectively. The black carbon is estimated to be 51% due to wood burning and 49% due to traffic emissions. The average organic carbon/total carbon (OC/TC) values were estimated to be 0.52 for traffic and 0.88 for wood burning particulate emissions.&quot;,&quot;author&quot;:[{&quot;family&quot;:&quot;Sandradewi&quot;,&quot;given&quot;:&quot;Jisca&quot;},{&quot;family&quot;:&quot;Prévôt&quot;,&quot;given&quot;:&quot;Andre S H&quot;},{&quot;family&quot;:&quot;Szidat&quot;,&quot;given&quot;:&quot;Sönke&quot;},{&quot;family&quot;:&quot;Perron&quot;,&quot;given&quot;:&quot;Nolwenn&quot;},{&quot;family&quot;:&quot;Alfarra&quot;,&quot;given&quot;:&quot;M Rami&quot;},{&quot;family&quot;:&quot;Lanz&quot;,&quot;given&quot;:&quot;Valentin A&quot;},{&quot;family&quot;:&quot;Weingartner&quot;,&quot;given&quot;:&quot;Ernest&quot;},{&quot;family&quot;:&quot;Baltensperger&quot;,&quot;given&quot;:&quot;Urs&quot;}],&quot;issued&quot;:{&quot;date-parts&quot;:[[&quot;2008&quot;,&quot;5&quot;,&quot;1&quot;]]},&quot;DOI&quot;:&quot;10.1021/es702253m&quot;,&quot;PMID&quot;:&quot;18522112&quot;,&quot;citation-label&quot;:&quot;7454658&quot;},{&quot;title&quot;:&quot;Long-term trends in particulate matter from wood burning in the United Kingdom: Dependence on weather and social factors.&quot;,&quot;page&quot;:&quot;120105&quot;,&quot;volume&quot;:&quot;314&quot;,&quot;journalAbbreviation&quot;:&quot;Environ. Pollut.&quot;,&quot;id&quot;:&quot;14076786&quot;,&quot;type&quot;:&quot;article-journal&quot;,&quot;container-title&quot;:&quot;Environmental Pollution&quot;,&quot;container-title-short&quot;:&quot;Environ. Pollut.&quot;,&quot;abstract&quot;:&quot;Particulate matter from wood burning emissions (Cwood) was quantified at five locations in the United Kingdom (UK), comprising three rural and two urban sites between 2009 and 2021. The aethalometer method was used. Mean winter Cwood concentrations ranged from 0.26 μg m-3 (in rural Scotland) to 1.30 μg m-3 (London), which represented on average 4% (in rural environments) and 5% (urban) of PM10 concentrations; and 8% of PM2.5. Concentrations were greatest in the evenings in winter months, with larger evening concentrations in the weekends at the urban sites. Random-forest (RF) machine learning regression models were used to reconstruct Cwood concentrations using both meteorological and temporal explanatory variables at each site. The partial dependency plots indicated that temperature and wind speed were the meteorological variables explaining the greatest variability in Cwood, with larger concentrations during cold and calm conditions. Peaks of Cwood concentrations took place during and after events that are celebrated with bonfires. These were Guy Fawkes events in the urban areas and on New Year's Day at the rural sites; the later probably related to long-range transport. Time series were built using the RF. Having removed weather influences, long-term trends of Cwood were estimated using the Theil Sen method. Trends for 2015-2021 were downward at three of the locations (London, Glasgow and rural Scotland), with rates ranging from -5.5% year-1 to -2.5% year-1. The replacement of old fireplaces with lower emission wood stoves might explain the decrease in Cwood especially at the urban sites The two rural sites in England observed positive trends for the same period but this was not statistically significant.Copyright © 2022 The Authors. Published by Elsevier Ltd.. All rights reserved.&quot;,&quot;author&quot;:[{&quot;family&quot;:&quot;Font&quot;,&quot;given&quot;:&quot;A&quot;},{&quot;family&quot;:&quot;Ciupek&quot;,&quot;given&quot;:&quot;K&quot;},{&quot;family&quot;:&quot;Butterfield&quot;,&quot;given&quot;:&quot;D&quot;},{&quot;family&quot;:&quot;Fuller&quot;,&quot;given&quot;:&quot;G W&quot;}],&quot;issued&quot;:{&quot;date-parts&quot;:[[&quot;2022&quot;,&quot;12&quot;,&quot;1&quot;]]},&quot;DOI&quot;:&quot;10.1016/j.envpol.2022.120105&quot;,&quot;PMID&quot;:&quot;36089148&quot;,&quot;citation-label&quot;:&quot;14076786&quot;},{&quot;title&quot;:&quot;Recommendations for reporting equivalent black carbon (eBC) mass concentrations based on long-term pan-European in-situ observations.&quot;,&quot;page&quot;:&quot;108553&quot;,&quot;volume&quot;:&quot;185&quot;,&quot;journalAbbreviation&quot;:&quot;Environ. Int.&quot;,&quot;id&quot;:&quot;17495715&quot;,&quot;type&quot;:&quot;article-journal&quot;,&quot;container-title&quot;:&quot;Environment International&quot;,&quot;container-title-short&quot;:&quot;Environ. Int.&quot;,&quot;abstract&quot;:&quot;A reliable determination of equivalent black carbon (eBC) mass concentrations derived from filter absorption photometers (FAPs) measurements depends on the appropriate quantification of the mass absorption cross-section (MAC) for converting the absorption coefficient (babs) to eBC. This study investigates the spatial-temporal variability of the MAC obtained from simultaneous elemental carbon (EC) and babs measurements performed at 22 sites. We compared different methodologies for retrieving eBC integrating different options for calculating MAC including: locally derived, median value calculated from 22 sites, and site-specific rolling MAC. The eBC concentrations that underwent correction using these methods were identified as LeBC (local MAC), MeBC (median MAC), and ReBC (Rolling MAC) respectively. Pronounced differences (up to more than 50 %) were observed between eBC as directly provided by FAPs (NeBC; Nominal instrumental MAC) and ReBC due to the differences observed between the experimental and nominal MAC values. The median MAC was 7.8 ± 3.4 m2 g-1 from 12 aethalometers at 880 nm, and 10.6 ± 4.7 m2 g-1 from 10 MAAPs at 637 nm. The experimental MAC showed significant site and seasonal dependencies, with heterogeneous patterns between summer and winter in different regions. In addition, long-term trend analysis revealed statistically significant (s.s.) decreasing trends in EC. Interestingly, we showed that the corresponding corrected eBC trends are not independent of the way eBC is calculated due to the variability of MAC. NeBC and EC decreasing trends were consistent at sites with no significant trend in experimental MAC. Conversely, where MAC showed s.s. trend, the NeBC and EC trends were not consistent while ReBC concentration followed the same pattern as EC. These results underscore the importance of accounting for MAC variations when deriving eBC measurements from FAPs and emphasize the necessity of incorporating EC observations to constrain the uncertainty associated with eBC.Copyright © 2024 The Author(s). Published by Elsevier Ltd.. All rights reserved.&quot;,&quot;author&quot;:[{&quot;family&quot;:&quot;Savadkoohi&quot;,&quot;given&quot;:&quot;Marjan&quot;},{&quot;family&quot;:&quot;Pandolfi&quot;,&quot;given&quot;:&quot;Marco&quot;},{&quot;family&quot;:&quot;Favez&quot;,&quot;given&quot;:&quot;Olivier&quot;},{&quot;family&quot;:&quot;Putaud&quot;,&quot;given&quot;:&quot;Jean-Philippe&quot;},{&quot;family&quot;:&quot;Eleftheriadis&quot;,&quot;given&quot;:&quot;Konstantinos&quot;},{&quot;family&quot;:&quot;Fiebig&quot;,&quot;given&quot;:&quot;Markus&quot;},{&quot;family&quot;:&quot;Hopke&quot;,&quot;given&quot;:&quot;Philip K&quot;},{&quot;family&quot;:&quot;Laj&quot;,&quot;given&quot;:&quot;Paolo&quot;},{&quot;family&quot;:&quot;Wiedensohler&quot;,&quot;given&quot;:&quot;Alfred&quot;},{&quot;family&quot;:&quot;Alados-Arboledas&quot;,&quot;given&quot;:&quot;Lucas&quot;},{&quot;family&quot;:&quot;Bastian&quot;,&quot;given&quot;:&quot;Susanne&quot;},{&quot;family&quot;:&quot;Chazeau&quot;,&quot;given&quot;:&quot;Benjamin&quot;},{&quot;family&quot;:&quot;María&quot;,&quot;given&quot;:&quot;Álvaro Clemente&quot;},{&quot;family&quot;:&quot;Colombi&quot;,&quot;given&quot;:&quot;Cristina&quot;},{&quot;family&quot;:&quot;Costabile&quot;,&quot;given&quot;:&quot;Francesca&quot;},{&quot;family&quot;:&quot;Green&quot;,&quot;given&quot;:&quot;David C&quot;},{&quot;family&quot;:&quot;Hueglin&quot;,&quot;given&quot;:&quot;Christoph&quot;},{&quot;family&quot;:&quot;Liakakou&quot;,&quot;given&quot;:&quot;Eleni&quot;},{&quot;family&quot;:&quot;Luoma&quot;,&quot;given&quot;:&quot;Krista&quot;},{&quot;family&quot;:&quot;Listrani&quot;,&quot;given&quot;:&quot;Stefano&quot;},{&quot;family&quot;:&quot;Mihalopoulos&quot;,&quot;given&quot;:&quot;Nikos&quot;},{&quot;family&quot;:&quot;Marchand&quot;,&quot;given&quot;:&quot;Nicolas&quot;},{&quot;family&quot;:&quot;Močnik&quot;,&quot;given&quot;:&quot;Griša&quot;},{&quot;family&quot;:&quot;Niemi&quot;,&quot;given&quot;:&quot;Jarkko V&quot;},{&quot;family&quot;:&quot;Ondráček&quot;,&quot;given&quot;:&quot;Jakub&quot;},{&quot;family&quot;:&quot;Petit&quot;,&quot;given&quot;:&quot;Jean-Eudes&quot;},{&quot;family&quot;:&quot;Rattigan&quot;,&quot;given&quot;:&quot;Oliver V&quot;},{&quot;family&quot;:&quot;Reche&quot;,&quot;given&quot;:&quot;Cristina&quot;},{&quot;family&quot;:&quot;Timonen&quot;,&quot;given&quot;:&quot;Hilkka&quot;},{&quot;family&quot;:&quot;Titos&quot;,&quot;given&quot;:&quot;Gloria&quot;},{&quot;family&quot;:&quot;Tremper&quot;,&quot;given&quot;:&quot;Anja H&quot;},{&quot;family&quot;:&quot;Vratolis&quot;,&quot;given&quot;:&quot;Stergios&quot;},{&quot;family&quot;:&quot;Vodička&quot;,&quot;given&quot;:&quot;Petr&quot;},{&quot;family&quot;:&quot;Funes&quot;,&quot;given&quot;:&quot;Eduardo Yubero&quot;},{&quot;family&quot;:&quot;Zíková&quot;,&quot;given&quot;:&quot;Naděžda&quot;},{&quot;family&quot;:&quot;Harrison&quot;,&quot;given&quot;:&quot;Roy M&quot;},{&quot;family&quot;:&quot;Petäjä&quot;,&quot;given&quot;:&quot;Tuukka&quot;},{&quot;family&quot;:&quot;Alastuey&quot;,&quot;given&quot;:&quot;Andrés&quot;},{&quot;family&quot;:&quot;Querol&quot;,&quot;given&quot;:&quot;Xavier&quot;}],&quot;issued&quot;:{&quot;date-parts&quot;:[[&quot;2024&quot;,&quot;3&quot;,&quot;2&quot;]]},&quot;DOI&quot;:&quot;10.1016/j.envint.2024.108553&quot;,&quot;PMID&quot;:&quot;38460240&quot;,&quot;citation-label&quot;:&quot;17495715&quot;}]"/>
    <we:property name="sciwheel-selectedStyle" value="{&quot;id&quot;:&quot;atmospheric-chemistry-and-physics&quot;,&quot;name&quot;:&quot;Atmospheric Chemistry and Physics&quot;,&quot;bibText&quot;:[{&quot;maxoffset&quot;:0,&quot;entryspacing&quot;:1,&quot;linespacing&quot;:1,&quot;second-field-align&quot;:false,&quot;entry_ids&quot;:[[&quot;0&quot;]],&quot;bibliography_errors&quot;:[],&quot;done&quot;:false,&quot;bibstart&quot;:&quot;&lt;div class=\&quot;csl-bib-body\&quot;&gt;\n&quot;,&quot;bibend&quot;:&quot;&lt;/div&gt;&quot;},[&quot;  &lt;div class=\&quot;csl-entry\&quot;&gt;Accadia, T., Acernese, F., Alshourbagy, M., Amico, P., Antonucci, F., Aoudia, S., Arnaud, N., Arnault, C., Arun, K. G., Astone, P., Avino, S., Babusci, D., Ballardin, G., Barone, F., Barrand, G., Barsotti, L., Barsuglia, M., Basti, A., Bauer, T. S., Beauville, F., Bebronne, M., Bejger, M., Beker, M. G., Bellachia, F., Belletoile, A., Beney, J. L., Bernardini, M., Bigotta, S., Bilhaut, R., Birindelli, S., Bitossi, M., Bizouard, M. A., Blom, M., Boccara, C., Boget, D., Bondu, F., Bonelli, L., Bonnand, R., Boschi, V., Bosi, L., Bouedo, T., Bouhou, B., Bozzi, A., Bracci, L., Braccini, S., Bradaschia, C., Branchesi, M., Briant, T., Brillet, A., Brisson, V., Brocco, L., Bulik, T., Bulten, H. J., Buskulic, D., Buy, C., Cagnoli, G., Calamai, G., Calloni, E., Campagna, E., Canuel, B., Carbognani, F., Carbone, L., Cavalier, F., Cavalieri, R., Cecchi, R., Cella, G., Cesarini, E., Chassande-Mottin, E., Chatterji, S., Chiche, R., Chincarini, A., Chiummo, A., Christensen, N., Clapson, A. C., Cleva, F., Coccia, E., Cohadon, P.-F., Colacino, C. N., Colas, J., Colla, A., Colombini, M., Conforto, G., Corsi, A., Cortese, S., Cottone, F., Coulon, J.-P., Cuoco, E., D’Antonio, S., Daguin, G., Dari, A., Dattilo, V., David, P. Y., Davier, M., Day, R., Debreczeni, G., Carolis, G. D., Dehamme, M., Fabbro, R. D., Pozzo, W. D., et al.: Virgo: a laser interferometer to detect gravitational waves, J. Instrum., 7(03), P03012–P03012, https://doi.org/10.1088/1748-0221/7/03/P03012, 2012.&lt;/div&gt;\n&quot;]],&quot;citationText&quot;:&quot;(Accadia et al., 2012)&quot;}"/>
    <we:property name="sciwheel-styles" value="[{&quot;id&quot;:&quot;american-medical-association&quot;,&quot;name&quot;:&quot;AMA (American Medical Association)&quot;},{&quot;id&quot;:&quot;apa 7th&quot;,&quot;name&quot;:&quot;APA (American Psychological Association) 7th Edition&quot;},{&quot;id&quot;:&quot;atmospheric-chemistry-and-physics&quot;,&quot;name&quot;:&quot;Atmospheric Chemistry and Physics&quot;,&quot;bibText&quot;:[{&quot;maxoffset&quot;:0,&quot;entryspacing&quot;:1,&quot;linespacing&quot;:1,&quot;second-field-align&quot;:false,&quot;entry_ids&quot;:[[&quot;0&quot;]],&quot;bibliography_errors&quot;:[],&quot;done&quot;:false,&quot;bibstart&quot;:&quot;&lt;div class=\&quot;csl-bib-body\&quot;&gt;\n&quot;,&quot;bibend&quot;:&quot;&lt;/div&gt;&quot;},[&quot;  &lt;div class=\&quot;csl-entry\&quot;&gt;Accadia, T., Acernese, F., Alshourbagy, M., Amico, P., Antonucci, F., Aoudia, S., Arnaud, N., Arnault, C., Arun, K. G., Astone, P., Avino, S., Babusci, D., Ballardin, G., Barone, F., Barrand, G., Barsotti, L., Barsuglia, M., Basti, A., Bauer, T. S., Beauville, F., Bebronne, M., Bejger, M., Beker, M. G., Bellachia, F., Belletoile, A., Beney, J. L., Bernardini, M., Bigotta, S., Bilhaut, R., Birindelli, S., Bitossi, M., Bizouard, M. A., Blom, M., Boccara, C., Boget, D., Bondu, F., Bonelli, L., Bonnand, R., Boschi, V., Bosi, L., Bouedo, T., Bouhou, B., Bozzi, A., Bracci, L., Braccini, S., Bradaschia, C., Branchesi, M., Briant, T., Brillet, A., Brisson, V., Brocco, L., Bulik, T., Bulten, H. J., Buskulic, D., Buy, C., Cagnoli, G., Calamai, G., Calloni, E., Campagna, E., Canuel, B., Carbognani, F., Carbone, L., Cavalier, F., Cavalieri, R., Cecchi, R., Cella, G., Cesarini, E., Chassande-Mottin, E., Chatterji, S., Chiche, R., Chincarini, A., Chiummo, A., Christensen, N., Clapson, A. C., Cleva, F., Coccia, E., Cohadon, P.-F., Colacino, C. N., Colas, J., Colla, A., Colombini, M., Conforto, G., Corsi, A., Cortese, S., Cottone, F., Coulon, J.-P., Cuoco, E., D’Antonio, S., Daguin, G., Dari, A., Dattilo, V., David, P. Y., Davier, M., Day, R., Debreczeni, G., Carolis, G. D., Dehamme, M., Fabbro, R. D., Pozzo, W. D., et al.: Virgo: a laser interferometer to detect gravitational waves, J. Instrum., 7(03), P03012–P03012, https://doi.org/10.1088/1748-0221/7/03/P03012, 2012.&lt;/div&gt;\n&quot;]],&quot;citationText&quot;:&quot;(Accadia et al., 2012)&quot;},{&quot;id&quot;:&quot;cell&quot;,&quot;name&quot;:&quot;Cell&quot;},{&quot;id&quot;:&quot;chicago-17th-edition&quot;,&quot;name&quot;:&quot;Chicago 17th Edition (author-date)&quot;},{&quot;id&quot;:&quot;cite-them-right-11th-edition-harvard&quot;,&quot;name&quot;:&quot;Cite Them Right 11th Edition - Harvard&quot;},{&quot;id&quot;:&quot;ieee&quot;,&quot;name&quot;:&quot;IEEE&quot;},{&quot;id&quot;:&quot;modern-language-association&quot;,&quot;name&quot;:&quot;MLA (Modern Language Association)&quot;},{&quot;id&quot;:&quot;national-library-of-medicine-grant-proposals&quot;,&quot;name&quot;:&quot;National Library of Medicine (Grant proposals with PMCID/PMID)&quot;},{&quot;id&quot;:&quot;nature&quot;,&quot;name&quot;:&quot;Nature&quot;},{&quot;id&quot;:&quot;science&quot;,&quot;name&quot;:&quot;Science&quot;},{&quot;id&quot;:&quot;vancouver&quot;,&quot;name&quot;:&quot;Vancouv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2.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4.xml><?xml version="1.0" encoding="utf-8"?>
<ds:datastoreItem xmlns:ds="http://schemas.openxmlformats.org/officeDocument/2006/customXml" ds:itemID="{14FDE37B-9ACC-4864-8ED1-705F7DB3F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6</Pages>
  <Words>1409</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Christina Hood</cp:lastModifiedBy>
  <cp:revision>15</cp:revision>
  <dcterms:created xsi:type="dcterms:W3CDTF">2025-11-14T10:07:00Z</dcterms:created>
  <dcterms:modified xsi:type="dcterms:W3CDTF">2026-03-13T15:13:00Z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y fmtid="{D5CDD505-2E9C-101B-9397-08002B2CF9AE}" pid="4" name="GrammarlyDocumentId">
    <vt:lpwstr>f1130a72-3fda-4276-92bf-55f0d6508071</vt:lpwstr>
  </property>
</Properties>
</file>