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FAC5E" w14:textId="77777777"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b/>
          <w:bCs/>
          <w:color w:val="1A1C1E"/>
          <w:sz w:val="21"/>
          <w:szCs w:val="21"/>
        </w:rPr>
        <w:t>Site Selection</w:t>
      </w:r>
    </w:p>
    <w:p w14:paraId="6124531C" w14:textId="711C6F3D"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color w:val="1A1C1E"/>
          <w:sz w:val="21"/>
          <w:szCs w:val="21"/>
        </w:rPr>
        <w:t>In 2022, 14 habitat parcels were sampled across five landholdings in Oxfordshire and Buckinghamshire. These included five ‘modified grassland’ parcels, seven ‘other neutral grassland’ parcels, and two ‘arable field margin’ parcels, as defined by the UK Habitat Classification system (</w:t>
      </w:r>
      <w:proofErr w:type="spellStart"/>
      <w:r>
        <w:rPr>
          <w:rStyle w:val="ng-star-inserted1"/>
          <w:rFonts w:ascii="Arial" w:eastAsiaTheme="majorEastAsia" w:hAnsi="Arial" w:cs="Arial"/>
          <w:color w:val="1A1C1E"/>
          <w:sz w:val="21"/>
          <w:szCs w:val="21"/>
        </w:rPr>
        <w:t>UKHab</w:t>
      </w:r>
      <w:proofErr w:type="spellEnd"/>
      <w:r>
        <w:rPr>
          <w:rStyle w:val="ng-star-inserted1"/>
          <w:rFonts w:ascii="Arial" w:eastAsiaTheme="majorEastAsia" w:hAnsi="Arial" w:cs="Arial"/>
          <w:color w:val="1A1C1E"/>
          <w:sz w:val="21"/>
          <w:szCs w:val="21"/>
        </w:rPr>
        <w:t xml:space="preserve">). The parcels ranged in size from 0.6 to 12.3 hectares. </w:t>
      </w:r>
    </w:p>
    <w:p w14:paraId="49954585" w14:textId="77777777"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b/>
          <w:bCs/>
          <w:color w:val="1A1C1E"/>
          <w:sz w:val="21"/>
          <w:szCs w:val="21"/>
        </w:rPr>
        <w:t>Invertebrate Surveys</w:t>
      </w:r>
    </w:p>
    <w:p w14:paraId="7E98CBD1" w14:textId="77777777"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color w:val="1A1C1E"/>
          <w:sz w:val="21"/>
          <w:szCs w:val="21"/>
        </w:rPr>
        <w:t>Pitfall traps were employed to sample the activity-abundance and species richness of ground invertebrates. In each habitat parcel, three to nine traps were installed, with the number increasing with the size and heterogeneity of the area. The traps were strategically placed to ensure the configuration captured any site heterogeneity, such as variations in soil moisture and slope.</w:t>
      </w:r>
    </w:p>
    <w:p w14:paraId="340BF4BE" w14:textId="40CD1FFD"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color w:val="1A1C1E"/>
          <w:sz w:val="21"/>
          <w:szCs w:val="21"/>
        </w:rPr>
        <w:t>In 2022, the pitfall traps consisted of a twin plastic cup (94 mm wide, 135 mm high) containing 90 mL of water, 10 mL of propylene glycol, and a small amount of detergent. To prevent vertebrate bycatch, galvanized chicken wire with a 35 mm mesh size was placed over the trap, flush with the ground. A black corrugated plastic rain cover with a 150 mm diameter was positioned 30 mm above each trap. These traps were active for four weeks during August and September, being emptied and reset after the first two weeks.</w:t>
      </w:r>
      <w:r>
        <w:rPr>
          <w:rFonts w:ascii="Arial" w:hAnsi="Arial" w:cs="Arial"/>
          <w:color w:val="1A1C1E"/>
          <w:sz w:val="21"/>
          <w:szCs w:val="21"/>
        </w:rPr>
        <w:t xml:space="preserve"> </w:t>
      </w:r>
      <w:r>
        <w:rPr>
          <w:rStyle w:val="ng-star-inserted1"/>
          <w:rFonts w:ascii="Arial" w:eastAsiaTheme="majorEastAsia" w:hAnsi="Arial" w:cs="Arial"/>
          <w:color w:val="1A1C1E"/>
          <w:sz w:val="21"/>
          <w:szCs w:val="21"/>
        </w:rPr>
        <w:t>Any samples that were damaged or interfered with by vertebrates were excluded from the dataset.</w:t>
      </w:r>
    </w:p>
    <w:p w14:paraId="49B8F54A" w14:textId="77777777" w:rsidR="00D82111" w:rsidRDefault="00D82111" w:rsidP="00D82111">
      <w:pPr>
        <w:pStyle w:val="ng-star-inserted"/>
        <w:spacing w:after="270" w:afterAutospacing="0" w:line="300" w:lineRule="atLeast"/>
        <w:rPr>
          <w:rFonts w:ascii="Arial" w:hAnsi="Arial" w:cs="Arial"/>
          <w:color w:val="1A1C1E"/>
          <w:sz w:val="21"/>
          <w:szCs w:val="21"/>
        </w:rPr>
      </w:pPr>
      <w:r>
        <w:rPr>
          <w:rStyle w:val="ng-star-inserted1"/>
          <w:rFonts w:ascii="Arial" w:eastAsiaTheme="majorEastAsia" w:hAnsi="Arial" w:cs="Arial"/>
          <w:b/>
          <w:bCs/>
          <w:color w:val="1A1C1E"/>
          <w:sz w:val="21"/>
          <w:szCs w:val="21"/>
        </w:rPr>
        <w:t>Specimen Identification</w:t>
      </w:r>
    </w:p>
    <w:p w14:paraId="57A6F0AC" w14:textId="4C83EFBE" w:rsidR="00D82111" w:rsidRDefault="00D82111" w:rsidP="00D82111">
      <w:pPr>
        <w:pStyle w:val="ng-star-inserted"/>
        <w:spacing w:after="0" w:afterAutospacing="0" w:line="300" w:lineRule="atLeast"/>
        <w:rPr>
          <w:rFonts w:ascii="Arial" w:eastAsiaTheme="majorEastAsia" w:hAnsi="Arial" w:cs="Arial"/>
          <w:color w:val="1A1C1E"/>
          <w:sz w:val="21"/>
          <w:szCs w:val="21"/>
        </w:rPr>
      </w:pPr>
      <w:r>
        <w:rPr>
          <w:rStyle w:val="ng-star-inserted1"/>
          <w:rFonts w:ascii="Arial" w:eastAsiaTheme="majorEastAsia" w:hAnsi="Arial" w:cs="Arial"/>
          <w:color w:val="1A1C1E"/>
          <w:sz w:val="21"/>
          <w:szCs w:val="21"/>
        </w:rPr>
        <w:t>Collected specimens were transferred to ethanol. In 2022, ground beetles (</w:t>
      </w:r>
      <w:proofErr w:type="spellStart"/>
      <w:r>
        <w:rPr>
          <w:rStyle w:val="ng-star-inserted1"/>
          <w:rFonts w:ascii="Arial" w:eastAsiaTheme="majorEastAsia" w:hAnsi="Arial" w:cs="Arial"/>
          <w:color w:val="1A1C1E"/>
          <w:sz w:val="21"/>
          <w:szCs w:val="21"/>
        </w:rPr>
        <w:t>Carabidae</w:t>
      </w:r>
      <w:proofErr w:type="spellEnd"/>
      <w:r>
        <w:rPr>
          <w:rStyle w:val="ng-star-inserted1"/>
          <w:rFonts w:ascii="Arial" w:eastAsiaTheme="majorEastAsia" w:hAnsi="Arial" w:cs="Arial"/>
          <w:color w:val="1A1C1E"/>
          <w:sz w:val="21"/>
          <w:szCs w:val="21"/>
        </w:rPr>
        <w:t>) were identified to the species level</w:t>
      </w:r>
      <w:r>
        <w:rPr>
          <w:rStyle w:val="ng-star-inserted1"/>
          <w:rFonts w:ascii="Arial" w:eastAsiaTheme="majorEastAsia" w:hAnsi="Arial" w:cs="Arial"/>
          <w:color w:val="1A1C1E"/>
          <w:sz w:val="21"/>
          <w:szCs w:val="21"/>
        </w:rPr>
        <w:t xml:space="preserve"> following </w:t>
      </w:r>
      <w:r w:rsidRPr="00D82111">
        <w:rPr>
          <w:rFonts w:ascii="Arial" w:eastAsiaTheme="majorEastAsia" w:hAnsi="Arial" w:cs="Arial"/>
          <w:color w:val="1A1C1E"/>
          <w:sz w:val="21"/>
          <w:szCs w:val="21"/>
        </w:rPr>
        <w:t>Luff, M. L. (2007</w:t>
      </w:r>
      <w:r>
        <w:rPr>
          <w:rFonts w:ascii="Arial" w:eastAsiaTheme="majorEastAsia" w:hAnsi="Arial" w:cs="Arial"/>
          <w:color w:val="1A1C1E"/>
          <w:sz w:val="21"/>
          <w:szCs w:val="21"/>
        </w:rPr>
        <w:t>) [</w:t>
      </w:r>
      <w:r w:rsidRPr="00D82111">
        <w:rPr>
          <w:rFonts w:ascii="Arial" w:eastAsiaTheme="majorEastAsia" w:hAnsi="Arial" w:cs="Arial"/>
          <w:color w:val="1A1C1E"/>
          <w:sz w:val="21"/>
          <w:szCs w:val="21"/>
        </w:rPr>
        <w:t xml:space="preserve">Handbooks for the identification of British insects. </w:t>
      </w:r>
      <w:proofErr w:type="gramStart"/>
      <w:r w:rsidRPr="00D82111">
        <w:rPr>
          <w:rFonts w:ascii="Arial" w:eastAsiaTheme="majorEastAsia" w:hAnsi="Arial" w:cs="Arial"/>
          <w:color w:val="1A1C1E"/>
          <w:sz w:val="21"/>
          <w:szCs w:val="21"/>
        </w:rPr>
        <w:t>In  </w:t>
      </w:r>
      <w:r w:rsidRPr="00D82111">
        <w:rPr>
          <w:rFonts w:ascii="Arial" w:eastAsiaTheme="majorEastAsia" w:hAnsi="Arial" w:cs="Arial"/>
          <w:i/>
          <w:iCs/>
          <w:color w:val="1A1C1E"/>
          <w:sz w:val="21"/>
          <w:szCs w:val="21"/>
        </w:rPr>
        <w:t>The</w:t>
      </w:r>
      <w:proofErr w:type="gramEnd"/>
      <w:r w:rsidRPr="00D82111">
        <w:rPr>
          <w:rFonts w:ascii="Arial" w:eastAsiaTheme="majorEastAsia" w:hAnsi="Arial" w:cs="Arial"/>
          <w:i/>
          <w:iCs/>
          <w:color w:val="1A1C1E"/>
          <w:sz w:val="21"/>
          <w:szCs w:val="21"/>
        </w:rPr>
        <w:t xml:space="preserve"> </w:t>
      </w:r>
      <w:proofErr w:type="spellStart"/>
      <w:r w:rsidRPr="00D82111">
        <w:rPr>
          <w:rFonts w:ascii="Arial" w:eastAsiaTheme="majorEastAsia" w:hAnsi="Arial" w:cs="Arial"/>
          <w:i/>
          <w:iCs/>
          <w:color w:val="1A1C1E"/>
          <w:sz w:val="21"/>
          <w:szCs w:val="21"/>
        </w:rPr>
        <w:t>Carabidae</w:t>
      </w:r>
      <w:proofErr w:type="spellEnd"/>
      <w:r w:rsidRPr="00D82111">
        <w:rPr>
          <w:rFonts w:ascii="Arial" w:eastAsiaTheme="majorEastAsia" w:hAnsi="Arial" w:cs="Arial"/>
          <w:i/>
          <w:iCs/>
          <w:color w:val="1A1C1E"/>
          <w:sz w:val="21"/>
          <w:szCs w:val="21"/>
        </w:rPr>
        <w:t xml:space="preserve"> (ground beetles) of Britain and Ireland</w:t>
      </w:r>
      <w:r w:rsidRPr="00D82111">
        <w:rPr>
          <w:rFonts w:ascii="Arial" w:eastAsiaTheme="majorEastAsia" w:hAnsi="Arial" w:cs="Arial"/>
          <w:color w:val="1A1C1E"/>
          <w:sz w:val="21"/>
          <w:szCs w:val="21"/>
        </w:rPr>
        <w:t> (Vol.  </w:t>
      </w:r>
      <w:r w:rsidRPr="00D82111">
        <w:rPr>
          <w:rFonts w:ascii="Arial" w:eastAsiaTheme="majorEastAsia" w:hAnsi="Arial" w:cs="Arial"/>
          <w:b/>
          <w:bCs/>
          <w:color w:val="1A1C1E"/>
          <w:sz w:val="21"/>
          <w:szCs w:val="21"/>
        </w:rPr>
        <w:t>4</w:t>
      </w:r>
      <w:r w:rsidRPr="00D82111">
        <w:rPr>
          <w:rFonts w:ascii="Arial" w:eastAsiaTheme="majorEastAsia" w:hAnsi="Arial" w:cs="Arial"/>
          <w:color w:val="1A1C1E"/>
          <w:sz w:val="21"/>
          <w:szCs w:val="21"/>
        </w:rPr>
        <w:t>, 2nd ed.). Royal Entomological Society</w:t>
      </w:r>
      <w:r>
        <w:rPr>
          <w:rFonts w:ascii="Arial" w:eastAsiaTheme="majorEastAsia" w:hAnsi="Arial" w:cs="Arial"/>
          <w:color w:val="1A1C1E"/>
          <w:sz w:val="21"/>
          <w:szCs w:val="21"/>
        </w:rPr>
        <w:t>]</w:t>
      </w:r>
    </w:p>
    <w:p w14:paraId="6AC4BA28" w14:textId="1751A396" w:rsidR="00D544B8" w:rsidRDefault="00D544B8" w:rsidP="00D82111">
      <w:pPr>
        <w:pStyle w:val="ng-star-inserted"/>
        <w:spacing w:after="0" w:afterAutospacing="0" w:line="300" w:lineRule="atLeast"/>
        <w:rPr>
          <w:rFonts w:ascii="Arial" w:eastAsiaTheme="majorEastAsia" w:hAnsi="Arial" w:cs="Arial"/>
          <w:b/>
          <w:bCs/>
          <w:color w:val="1A1C1E"/>
          <w:sz w:val="21"/>
          <w:szCs w:val="21"/>
        </w:rPr>
      </w:pPr>
      <w:r>
        <w:rPr>
          <w:rFonts w:ascii="Arial" w:eastAsiaTheme="majorEastAsia" w:hAnsi="Arial" w:cs="Arial"/>
          <w:b/>
          <w:bCs/>
          <w:color w:val="1A1C1E"/>
          <w:sz w:val="21"/>
          <w:szCs w:val="21"/>
        </w:rPr>
        <w:t>File structure</w:t>
      </w:r>
    </w:p>
    <w:p w14:paraId="2A3F460C" w14:textId="77777777" w:rsidR="00D544B8" w:rsidRDefault="00D544B8" w:rsidP="00D82111">
      <w:pPr>
        <w:pStyle w:val="ng-star-inserted"/>
        <w:spacing w:after="0" w:afterAutospacing="0" w:line="300" w:lineRule="atLeast"/>
        <w:rPr>
          <w:rFonts w:ascii="Arial" w:eastAsiaTheme="majorEastAsia" w:hAnsi="Arial" w:cs="Arial"/>
          <w:b/>
          <w:bCs/>
          <w:color w:val="1A1C1E"/>
          <w:sz w:val="21"/>
          <w:szCs w:val="21"/>
        </w:rPr>
      </w:pPr>
    </w:p>
    <w:p w14:paraId="505930FA" w14:textId="556BC86E" w:rsidR="00D544B8" w:rsidRDefault="00D544B8" w:rsidP="00D544B8">
      <w:pPr>
        <w:pStyle w:val="ng-star-inserted"/>
        <w:spacing w:before="0" w:beforeAutospacing="0" w:after="0" w:afterAutospacing="0"/>
        <w:rPr>
          <w:rFonts w:ascii="Arial" w:eastAsiaTheme="majorEastAsia" w:hAnsi="Arial" w:cs="Arial"/>
          <w:color w:val="1A1C1E"/>
          <w:sz w:val="21"/>
          <w:szCs w:val="21"/>
        </w:rPr>
      </w:pPr>
      <w:proofErr w:type="spellStart"/>
      <w:r w:rsidRPr="00D544B8">
        <w:rPr>
          <w:rFonts w:ascii="Arial" w:eastAsiaTheme="majorEastAsia" w:hAnsi="Arial" w:cs="Arial"/>
          <w:color w:val="1A1C1E"/>
          <w:sz w:val="21"/>
          <w:szCs w:val="21"/>
        </w:rPr>
        <w:t>unique_pitfall_ID</w:t>
      </w:r>
      <w:proofErr w:type="spellEnd"/>
      <w:r>
        <w:rPr>
          <w:rFonts w:ascii="Arial" w:eastAsiaTheme="majorEastAsia" w:hAnsi="Arial" w:cs="Arial"/>
          <w:color w:val="1A1C1E"/>
          <w:sz w:val="21"/>
          <w:szCs w:val="21"/>
        </w:rPr>
        <w:t>: Unique pitfall trap ID code</w:t>
      </w:r>
    </w:p>
    <w:p w14:paraId="3883F0A9" w14:textId="55DC4ACB"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parcel/</w:t>
      </w:r>
      <w:proofErr w:type="spellStart"/>
      <w:r w:rsidRPr="00D544B8">
        <w:rPr>
          <w:rFonts w:ascii="Arial" w:eastAsiaTheme="majorEastAsia" w:hAnsi="Arial" w:cs="Arial"/>
          <w:color w:val="1A1C1E"/>
          <w:sz w:val="21"/>
          <w:szCs w:val="21"/>
        </w:rPr>
        <w:t>linear_ID</w:t>
      </w:r>
      <w:proofErr w:type="spellEnd"/>
      <w:r>
        <w:rPr>
          <w:rFonts w:ascii="Arial" w:eastAsiaTheme="majorEastAsia" w:hAnsi="Arial" w:cs="Arial"/>
          <w:color w:val="1A1C1E"/>
          <w:sz w:val="21"/>
          <w:szCs w:val="21"/>
        </w:rPr>
        <w:t>: Sample landscape ID code</w:t>
      </w:r>
    </w:p>
    <w:p w14:paraId="12D7323C" w14:textId="60E0C8E5"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site</w:t>
      </w:r>
      <w:r>
        <w:rPr>
          <w:rFonts w:ascii="Arial" w:eastAsiaTheme="majorEastAsia" w:hAnsi="Arial" w:cs="Arial"/>
          <w:color w:val="1A1C1E"/>
          <w:sz w:val="21"/>
          <w:szCs w:val="21"/>
        </w:rPr>
        <w:t>: farm ID</w:t>
      </w:r>
    </w:p>
    <w:p w14:paraId="46B033EF" w14:textId="433BF112"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repeat</w:t>
      </w:r>
      <w:r>
        <w:rPr>
          <w:rFonts w:ascii="Arial" w:eastAsiaTheme="majorEastAsia" w:hAnsi="Arial" w:cs="Arial"/>
          <w:color w:val="1A1C1E"/>
          <w:sz w:val="21"/>
          <w:szCs w:val="21"/>
        </w:rPr>
        <w:t>: repeat ID (note, invariant; all sites were sampled exactly twice)</w:t>
      </w:r>
    </w:p>
    <w:p w14:paraId="2AFB33D9" w14:textId="31DCDC93"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actual parcel</w:t>
      </w:r>
      <w:r>
        <w:rPr>
          <w:rFonts w:ascii="Arial" w:eastAsiaTheme="majorEastAsia" w:hAnsi="Arial" w:cs="Arial"/>
          <w:color w:val="1A1C1E"/>
          <w:sz w:val="21"/>
          <w:szCs w:val="21"/>
        </w:rPr>
        <w:t>: human readable parcel ID for field use</w:t>
      </w:r>
    </w:p>
    <w:p w14:paraId="3C79F7CC" w14:textId="342D4C19" w:rsidR="00D544B8" w:rsidRDefault="00D544B8" w:rsidP="00D544B8">
      <w:pPr>
        <w:pStyle w:val="ng-star-inserted"/>
        <w:spacing w:before="0" w:beforeAutospacing="0" w:after="0" w:afterAutospacing="0"/>
        <w:rPr>
          <w:rFonts w:ascii="Arial" w:eastAsiaTheme="majorEastAsia" w:hAnsi="Arial" w:cs="Arial"/>
          <w:color w:val="1A1C1E"/>
          <w:sz w:val="21"/>
          <w:szCs w:val="21"/>
        </w:rPr>
      </w:pPr>
      <w:proofErr w:type="spellStart"/>
      <w:r w:rsidRPr="00D544B8">
        <w:rPr>
          <w:rFonts w:ascii="Arial" w:eastAsiaTheme="majorEastAsia" w:hAnsi="Arial" w:cs="Arial"/>
          <w:color w:val="1A1C1E"/>
          <w:sz w:val="21"/>
          <w:szCs w:val="21"/>
        </w:rPr>
        <w:t>unique_parcel_ID</w:t>
      </w:r>
      <w:proofErr w:type="spellEnd"/>
      <w:r>
        <w:rPr>
          <w:rFonts w:ascii="Arial" w:eastAsiaTheme="majorEastAsia" w:hAnsi="Arial" w:cs="Arial"/>
          <w:color w:val="1A1C1E"/>
          <w:sz w:val="21"/>
          <w:szCs w:val="21"/>
        </w:rPr>
        <w:t>: Unique parcel ID</w:t>
      </w:r>
    </w:p>
    <w:p w14:paraId="0D5EA49B" w14:textId="11FF5B7E"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broad habitat</w:t>
      </w:r>
      <w:r>
        <w:rPr>
          <w:rFonts w:ascii="Arial" w:eastAsiaTheme="majorEastAsia" w:hAnsi="Arial" w:cs="Arial"/>
          <w:color w:val="1A1C1E"/>
          <w:sz w:val="21"/>
          <w:szCs w:val="21"/>
        </w:rPr>
        <w:t xml:space="preserve">: </w:t>
      </w:r>
      <w:r>
        <w:rPr>
          <w:rFonts w:ascii="Arial" w:eastAsiaTheme="majorEastAsia" w:hAnsi="Arial" w:cs="Arial"/>
          <w:color w:val="1A1C1E"/>
          <w:sz w:val="21"/>
          <w:szCs w:val="21"/>
        </w:rPr>
        <w:t xml:space="preserve">human readable </w:t>
      </w:r>
      <w:r>
        <w:rPr>
          <w:rFonts w:ascii="Arial" w:eastAsiaTheme="majorEastAsia" w:hAnsi="Arial" w:cs="Arial"/>
          <w:color w:val="1A1C1E"/>
          <w:sz w:val="21"/>
          <w:szCs w:val="21"/>
        </w:rPr>
        <w:t>habitat description</w:t>
      </w:r>
      <w:r>
        <w:rPr>
          <w:rFonts w:ascii="Arial" w:eastAsiaTheme="majorEastAsia" w:hAnsi="Arial" w:cs="Arial"/>
          <w:color w:val="1A1C1E"/>
          <w:sz w:val="21"/>
          <w:szCs w:val="21"/>
        </w:rPr>
        <w:t xml:space="preserve"> for field use</w:t>
      </w:r>
    </w:p>
    <w:p w14:paraId="6812048D" w14:textId="33722E39" w:rsidR="00D544B8" w:rsidRDefault="00D544B8" w:rsidP="00D544B8">
      <w:pPr>
        <w:pStyle w:val="ng-star-inserted"/>
        <w:spacing w:before="0" w:beforeAutospacing="0" w:after="0" w:afterAutospacing="0"/>
        <w:rPr>
          <w:rFonts w:ascii="Arial" w:eastAsiaTheme="majorEastAsia" w:hAnsi="Arial" w:cs="Arial"/>
          <w:color w:val="1A1C1E"/>
          <w:sz w:val="21"/>
          <w:szCs w:val="21"/>
        </w:rPr>
      </w:pPr>
      <w:proofErr w:type="spellStart"/>
      <w:r w:rsidRPr="00D544B8">
        <w:rPr>
          <w:rFonts w:ascii="Arial" w:eastAsiaTheme="majorEastAsia" w:hAnsi="Arial" w:cs="Arial"/>
          <w:color w:val="1A1C1E"/>
          <w:sz w:val="21"/>
          <w:szCs w:val="21"/>
        </w:rPr>
        <w:t>UKHab</w:t>
      </w:r>
      <w:proofErr w:type="spellEnd"/>
      <w:r>
        <w:rPr>
          <w:rFonts w:ascii="Arial" w:eastAsiaTheme="majorEastAsia" w:hAnsi="Arial" w:cs="Arial"/>
          <w:color w:val="1A1C1E"/>
          <w:sz w:val="21"/>
          <w:szCs w:val="21"/>
        </w:rPr>
        <w:t xml:space="preserve">: parcel classification under </w:t>
      </w:r>
      <w:proofErr w:type="spellStart"/>
      <w:r>
        <w:rPr>
          <w:rFonts w:ascii="Arial" w:eastAsiaTheme="majorEastAsia" w:hAnsi="Arial" w:cs="Arial"/>
          <w:color w:val="1A1C1E"/>
          <w:sz w:val="21"/>
          <w:szCs w:val="21"/>
        </w:rPr>
        <w:t>UKHab</w:t>
      </w:r>
      <w:proofErr w:type="spellEnd"/>
    </w:p>
    <w:p w14:paraId="3F2D61C1" w14:textId="6024A68A"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distinctiveness</w:t>
      </w:r>
      <w:r>
        <w:rPr>
          <w:rFonts w:ascii="Arial" w:eastAsiaTheme="majorEastAsia" w:hAnsi="Arial" w:cs="Arial"/>
          <w:color w:val="1A1C1E"/>
          <w:sz w:val="21"/>
          <w:szCs w:val="21"/>
        </w:rPr>
        <w:t>:</w:t>
      </w:r>
      <w:r w:rsidRPr="00D544B8">
        <w:rPr>
          <w:rFonts w:ascii="Arial" w:eastAsiaTheme="majorEastAsia" w:hAnsi="Arial" w:cs="Arial"/>
          <w:color w:val="1A1C1E"/>
          <w:sz w:val="21"/>
          <w:szCs w:val="21"/>
        </w:rPr>
        <w:t xml:space="preserve"> </w:t>
      </w:r>
      <w:r>
        <w:rPr>
          <w:rFonts w:ascii="Arial" w:eastAsiaTheme="majorEastAsia" w:hAnsi="Arial" w:cs="Arial"/>
          <w:color w:val="1A1C1E"/>
          <w:sz w:val="21"/>
          <w:szCs w:val="21"/>
        </w:rPr>
        <w:t xml:space="preserve">parcel classification under </w:t>
      </w:r>
      <w:r>
        <w:rPr>
          <w:rFonts w:ascii="Arial" w:eastAsiaTheme="majorEastAsia" w:hAnsi="Arial" w:cs="Arial"/>
          <w:color w:val="1A1C1E"/>
          <w:sz w:val="21"/>
          <w:szCs w:val="21"/>
        </w:rPr>
        <w:t>Defra BNG</w:t>
      </w:r>
    </w:p>
    <w:p w14:paraId="1F370F58" w14:textId="68C835A7"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condition</w:t>
      </w:r>
      <w:r>
        <w:rPr>
          <w:rFonts w:ascii="Arial" w:eastAsiaTheme="majorEastAsia" w:hAnsi="Arial" w:cs="Arial"/>
          <w:color w:val="1A1C1E"/>
          <w:sz w:val="21"/>
          <w:szCs w:val="21"/>
        </w:rPr>
        <w:t xml:space="preserve">: </w:t>
      </w:r>
      <w:r>
        <w:rPr>
          <w:rFonts w:ascii="Arial" w:eastAsiaTheme="majorEastAsia" w:hAnsi="Arial" w:cs="Arial"/>
          <w:color w:val="1A1C1E"/>
          <w:sz w:val="21"/>
          <w:szCs w:val="21"/>
        </w:rPr>
        <w:t xml:space="preserve">parcel classification under </w:t>
      </w:r>
      <w:r>
        <w:rPr>
          <w:rFonts w:ascii="Arial" w:eastAsiaTheme="majorEastAsia" w:hAnsi="Arial" w:cs="Arial"/>
          <w:color w:val="1A1C1E"/>
          <w:sz w:val="21"/>
          <w:szCs w:val="21"/>
        </w:rPr>
        <w:t>Defra BNG</w:t>
      </w:r>
    </w:p>
    <w:p w14:paraId="2EB785B6" w14:textId="4892269C" w:rsidR="00D544B8" w:rsidRDefault="00D544B8" w:rsidP="00D544B8">
      <w:pPr>
        <w:pStyle w:val="ng-star-inserted"/>
        <w:spacing w:before="0" w:beforeAutospacing="0" w:after="0" w:afterAutospacing="0"/>
        <w:rPr>
          <w:rFonts w:ascii="Arial" w:eastAsiaTheme="majorEastAsia" w:hAnsi="Arial" w:cs="Arial"/>
          <w:color w:val="1A1C1E"/>
          <w:sz w:val="21"/>
          <w:szCs w:val="21"/>
        </w:rPr>
      </w:pPr>
      <w:proofErr w:type="gramStart"/>
      <w:r w:rsidRPr="00D544B8">
        <w:rPr>
          <w:rFonts w:ascii="Arial" w:eastAsiaTheme="majorEastAsia" w:hAnsi="Arial" w:cs="Arial"/>
          <w:color w:val="1A1C1E"/>
          <w:sz w:val="21"/>
          <w:szCs w:val="21"/>
        </w:rPr>
        <w:t>destroyed?</w:t>
      </w:r>
      <w:r>
        <w:rPr>
          <w:rFonts w:ascii="Arial" w:eastAsiaTheme="majorEastAsia" w:hAnsi="Arial" w:cs="Arial"/>
          <w:color w:val="1A1C1E"/>
          <w:sz w:val="21"/>
          <w:szCs w:val="21"/>
        </w:rPr>
        <w:t>:</w:t>
      </w:r>
      <w:proofErr w:type="gramEnd"/>
      <w:r>
        <w:rPr>
          <w:rFonts w:ascii="Arial" w:eastAsiaTheme="majorEastAsia" w:hAnsi="Arial" w:cs="Arial"/>
          <w:color w:val="1A1C1E"/>
          <w:sz w:val="21"/>
          <w:szCs w:val="21"/>
        </w:rPr>
        <w:t xml:space="preserve"> pitfall fate</w:t>
      </w:r>
      <w:r>
        <w:rPr>
          <w:rFonts w:ascii="Arial" w:eastAsiaTheme="majorEastAsia" w:hAnsi="Arial" w:cs="Arial"/>
          <w:color w:val="1A1C1E"/>
          <w:sz w:val="21"/>
          <w:szCs w:val="21"/>
        </w:rPr>
        <w:t xml:space="preserve"> (note, invariant; </w:t>
      </w:r>
      <w:r>
        <w:rPr>
          <w:rFonts w:ascii="Arial" w:eastAsiaTheme="majorEastAsia" w:hAnsi="Arial" w:cs="Arial"/>
          <w:color w:val="1A1C1E"/>
          <w:sz w:val="21"/>
          <w:szCs w:val="21"/>
        </w:rPr>
        <w:t>no</w:t>
      </w:r>
      <w:r>
        <w:rPr>
          <w:rFonts w:ascii="Arial" w:eastAsiaTheme="majorEastAsia" w:hAnsi="Arial" w:cs="Arial"/>
          <w:color w:val="1A1C1E"/>
          <w:sz w:val="21"/>
          <w:szCs w:val="21"/>
        </w:rPr>
        <w:t xml:space="preserve"> </w:t>
      </w:r>
      <w:r>
        <w:rPr>
          <w:rFonts w:ascii="Arial" w:eastAsiaTheme="majorEastAsia" w:hAnsi="Arial" w:cs="Arial"/>
          <w:color w:val="1A1C1E"/>
          <w:sz w:val="21"/>
          <w:szCs w:val="21"/>
        </w:rPr>
        <w:t>traps</w:t>
      </w:r>
      <w:r>
        <w:rPr>
          <w:rFonts w:ascii="Arial" w:eastAsiaTheme="majorEastAsia" w:hAnsi="Arial" w:cs="Arial"/>
          <w:color w:val="1A1C1E"/>
          <w:sz w:val="21"/>
          <w:szCs w:val="21"/>
        </w:rPr>
        <w:t xml:space="preserve"> were </w:t>
      </w:r>
      <w:r>
        <w:rPr>
          <w:rFonts w:ascii="Arial" w:eastAsiaTheme="majorEastAsia" w:hAnsi="Arial" w:cs="Arial"/>
          <w:color w:val="1A1C1E"/>
          <w:sz w:val="21"/>
          <w:szCs w:val="21"/>
        </w:rPr>
        <w:t>destroyed</w:t>
      </w:r>
      <w:r>
        <w:rPr>
          <w:rFonts w:ascii="Arial" w:eastAsiaTheme="majorEastAsia" w:hAnsi="Arial" w:cs="Arial"/>
          <w:color w:val="1A1C1E"/>
          <w:sz w:val="21"/>
          <w:szCs w:val="21"/>
        </w:rPr>
        <w:t>)</w:t>
      </w:r>
    </w:p>
    <w:p w14:paraId="79606CEB" w14:textId="4ADE0A9A" w:rsid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 individuals</w:t>
      </w:r>
      <w:r>
        <w:rPr>
          <w:rFonts w:ascii="Arial" w:eastAsiaTheme="majorEastAsia" w:hAnsi="Arial" w:cs="Arial"/>
          <w:color w:val="1A1C1E"/>
          <w:sz w:val="21"/>
          <w:szCs w:val="21"/>
        </w:rPr>
        <w:t>: total carabid abundance per trap</w:t>
      </w:r>
    </w:p>
    <w:p w14:paraId="6E9DC34C" w14:textId="37812497" w:rsidR="003F7087" w:rsidRPr="00D544B8" w:rsidRDefault="00D544B8" w:rsidP="00D544B8">
      <w:pPr>
        <w:pStyle w:val="ng-star-inserted"/>
        <w:spacing w:before="0" w:beforeAutospacing="0" w:after="0" w:afterAutospacing="0"/>
        <w:rPr>
          <w:rFonts w:ascii="Arial" w:eastAsiaTheme="majorEastAsia" w:hAnsi="Arial" w:cs="Arial"/>
          <w:color w:val="1A1C1E"/>
          <w:sz w:val="21"/>
          <w:szCs w:val="21"/>
        </w:rPr>
      </w:pPr>
      <w:r w:rsidRPr="00D544B8">
        <w:rPr>
          <w:rFonts w:ascii="Arial" w:eastAsiaTheme="majorEastAsia" w:hAnsi="Arial" w:cs="Arial"/>
          <w:color w:val="1A1C1E"/>
          <w:sz w:val="21"/>
          <w:szCs w:val="21"/>
        </w:rPr>
        <w:t># species</w:t>
      </w:r>
      <w:r>
        <w:rPr>
          <w:rFonts w:ascii="Arial" w:eastAsiaTheme="majorEastAsia" w:hAnsi="Arial" w:cs="Arial"/>
          <w:color w:val="1A1C1E"/>
          <w:sz w:val="21"/>
          <w:szCs w:val="21"/>
        </w:rPr>
        <w:t>: species richness per trap</w:t>
      </w:r>
    </w:p>
    <w:p w14:paraId="3578122F" w14:textId="3EE8FAB6" w:rsidR="00D544B8" w:rsidRDefault="00D544B8" w:rsidP="00D544B8">
      <w:pPr>
        <w:spacing w:after="0" w:line="240" w:lineRule="auto"/>
        <w:rPr>
          <w:rFonts w:ascii="Arial" w:hAnsi="Arial" w:cs="Arial"/>
          <w:sz w:val="21"/>
          <w:szCs w:val="21"/>
        </w:rPr>
      </w:pPr>
      <w:r>
        <w:rPr>
          <w:rFonts w:ascii="Arial" w:hAnsi="Arial" w:cs="Arial"/>
          <w:sz w:val="21"/>
          <w:szCs w:val="21"/>
        </w:rPr>
        <w:t xml:space="preserve">Remaining columns: abundance per trap per species, column names are species names. </w:t>
      </w:r>
    </w:p>
    <w:p w14:paraId="09022B74" w14:textId="77777777" w:rsidR="00D544B8" w:rsidRPr="00D82111" w:rsidRDefault="00D544B8">
      <w:pPr>
        <w:rPr>
          <w:rFonts w:ascii="Arial" w:hAnsi="Arial" w:cs="Arial"/>
          <w:sz w:val="21"/>
          <w:szCs w:val="21"/>
        </w:rPr>
      </w:pPr>
    </w:p>
    <w:p w14:paraId="556A6CEB" w14:textId="0CB5A4FF" w:rsidR="00D82111" w:rsidRDefault="00D82111">
      <w:pPr>
        <w:rPr>
          <w:rFonts w:ascii="Arial" w:hAnsi="Arial" w:cs="Arial"/>
          <w:sz w:val="21"/>
          <w:szCs w:val="21"/>
        </w:rPr>
      </w:pPr>
      <w:r w:rsidRPr="00D82111">
        <w:rPr>
          <w:rFonts w:ascii="Arial" w:hAnsi="Arial" w:cs="Arial"/>
          <w:sz w:val="21"/>
          <w:szCs w:val="21"/>
        </w:rPr>
        <w:lastRenderedPageBreak/>
        <w:t xml:space="preserve">For publication purposes, this data was amalgamated with a subsequent year’s sampling of a wider range of taxa and with an eDNA analysis. Details are available in Duffus et al (2025) </w:t>
      </w:r>
      <w:hyperlink r:id="rId4" w:history="1">
        <w:r w:rsidRPr="006E095B">
          <w:rPr>
            <w:rStyle w:val="Hyperlink"/>
            <w:rFonts w:ascii="Arial" w:hAnsi="Arial" w:cs="Arial"/>
            <w:sz w:val="21"/>
            <w:szCs w:val="21"/>
          </w:rPr>
          <w:t>https://besjournals.onlinelibrary.wiley.com/doi/full/10.1111/1365-2664.70166</w:t>
        </w:r>
      </w:hyperlink>
    </w:p>
    <w:p w14:paraId="61C5AECF" w14:textId="77777777" w:rsidR="00D82111" w:rsidRDefault="00D82111">
      <w:pPr>
        <w:rPr>
          <w:rFonts w:ascii="Arial" w:hAnsi="Arial" w:cs="Arial"/>
          <w:sz w:val="21"/>
          <w:szCs w:val="21"/>
        </w:rPr>
      </w:pPr>
    </w:p>
    <w:p w14:paraId="4AC6C088" w14:textId="77777777" w:rsidR="00D82111" w:rsidRPr="00D82111" w:rsidRDefault="00D82111">
      <w:pPr>
        <w:rPr>
          <w:rFonts w:ascii="Arial" w:hAnsi="Arial" w:cs="Arial"/>
          <w:sz w:val="21"/>
          <w:szCs w:val="21"/>
        </w:rPr>
      </w:pPr>
    </w:p>
    <w:p w14:paraId="5BC4F709" w14:textId="77777777" w:rsidR="00D82111" w:rsidRPr="00D82111" w:rsidRDefault="00D82111">
      <w:pPr>
        <w:rPr>
          <w:rFonts w:ascii="Arial" w:hAnsi="Arial" w:cs="Arial"/>
          <w:sz w:val="21"/>
          <w:szCs w:val="21"/>
        </w:rPr>
      </w:pPr>
    </w:p>
    <w:sectPr w:rsidR="00D82111" w:rsidRPr="00D821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111"/>
    <w:rsid w:val="001033D8"/>
    <w:rsid w:val="00314ABA"/>
    <w:rsid w:val="003F7087"/>
    <w:rsid w:val="00B94051"/>
    <w:rsid w:val="00C21C7A"/>
    <w:rsid w:val="00CD6760"/>
    <w:rsid w:val="00D544B8"/>
    <w:rsid w:val="00D821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EEACDE0"/>
  <w15:chartTrackingRefBased/>
  <w15:docId w15:val="{22BE1872-D960-704B-9A96-EFB2C0A73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21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21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21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21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21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21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21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21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21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21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21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21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21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21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21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21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21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2111"/>
    <w:rPr>
      <w:rFonts w:eastAsiaTheme="majorEastAsia" w:cstheme="majorBidi"/>
      <w:color w:val="272727" w:themeColor="text1" w:themeTint="D8"/>
    </w:rPr>
  </w:style>
  <w:style w:type="paragraph" w:styleId="Title">
    <w:name w:val="Title"/>
    <w:basedOn w:val="Normal"/>
    <w:next w:val="Normal"/>
    <w:link w:val="TitleChar"/>
    <w:uiPriority w:val="10"/>
    <w:qFormat/>
    <w:rsid w:val="00D821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21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21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21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2111"/>
    <w:pPr>
      <w:spacing w:before="160"/>
      <w:jc w:val="center"/>
    </w:pPr>
    <w:rPr>
      <w:i/>
      <w:iCs/>
      <w:color w:val="404040" w:themeColor="text1" w:themeTint="BF"/>
    </w:rPr>
  </w:style>
  <w:style w:type="character" w:customStyle="1" w:styleId="QuoteChar">
    <w:name w:val="Quote Char"/>
    <w:basedOn w:val="DefaultParagraphFont"/>
    <w:link w:val="Quote"/>
    <w:uiPriority w:val="29"/>
    <w:rsid w:val="00D82111"/>
    <w:rPr>
      <w:i/>
      <w:iCs/>
      <w:color w:val="404040" w:themeColor="text1" w:themeTint="BF"/>
    </w:rPr>
  </w:style>
  <w:style w:type="paragraph" w:styleId="ListParagraph">
    <w:name w:val="List Paragraph"/>
    <w:basedOn w:val="Normal"/>
    <w:uiPriority w:val="34"/>
    <w:qFormat/>
    <w:rsid w:val="00D82111"/>
    <w:pPr>
      <w:ind w:left="720"/>
      <w:contextualSpacing/>
    </w:pPr>
  </w:style>
  <w:style w:type="character" w:styleId="IntenseEmphasis">
    <w:name w:val="Intense Emphasis"/>
    <w:basedOn w:val="DefaultParagraphFont"/>
    <w:uiPriority w:val="21"/>
    <w:qFormat/>
    <w:rsid w:val="00D82111"/>
    <w:rPr>
      <w:i/>
      <w:iCs/>
      <w:color w:val="0F4761" w:themeColor="accent1" w:themeShade="BF"/>
    </w:rPr>
  </w:style>
  <w:style w:type="paragraph" w:styleId="IntenseQuote">
    <w:name w:val="Intense Quote"/>
    <w:basedOn w:val="Normal"/>
    <w:next w:val="Normal"/>
    <w:link w:val="IntenseQuoteChar"/>
    <w:uiPriority w:val="30"/>
    <w:qFormat/>
    <w:rsid w:val="00D821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2111"/>
    <w:rPr>
      <w:i/>
      <w:iCs/>
      <w:color w:val="0F4761" w:themeColor="accent1" w:themeShade="BF"/>
    </w:rPr>
  </w:style>
  <w:style w:type="character" w:styleId="IntenseReference">
    <w:name w:val="Intense Reference"/>
    <w:basedOn w:val="DefaultParagraphFont"/>
    <w:uiPriority w:val="32"/>
    <w:qFormat/>
    <w:rsid w:val="00D82111"/>
    <w:rPr>
      <w:b/>
      <w:bCs/>
      <w:smallCaps/>
      <w:color w:val="0F4761" w:themeColor="accent1" w:themeShade="BF"/>
      <w:spacing w:val="5"/>
    </w:rPr>
  </w:style>
  <w:style w:type="paragraph" w:customStyle="1" w:styleId="ng-star-inserted">
    <w:name w:val="ng-star-inserted"/>
    <w:basedOn w:val="Normal"/>
    <w:rsid w:val="00D8211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ng-star-inserted1">
    <w:name w:val="ng-star-inserted1"/>
    <w:basedOn w:val="DefaultParagraphFont"/>
    <w:rsid w:val="00D82111"/>
  </w:style>
  <w:style w:type="character" w:styleId="Hyperlink">
    <w:name w:val="Hyperlink"/>
    <w:basedOn w:val="DefaultParagraphFont"/>
    <w:uiPriority w:val="99"/>
    <w:unhideWhenUsed/>
    <w:rsid w:val="00D82111"/>
    <w:rPr>
      <w:color w:val="467886" w:themeColor="hyperlink"/>
      <w:u w:val="single"/>
    </w:rPr>
  </w:style>
  <w:style w:type="character" w:styleId="UnresolvedMention">
    <w:name w:val="Unresolved Mention"/>
    <w:basedOn w:val="DefaultParagraphFont"/>
    <w:uiPriority w:val="99"/>
    <w:semiHidden/>
    <w:unhideWhenUsed/>
    <w:rsid w:val="00D82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esjournals.onlinelibrary.wiley.com/doi/full/10.1111/1365-2664.701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Grenyer</dc:creator>
  <cp:keywords/>
  <dc:description/>
  <cp:lastModifiedBy>Richard Grenyer</cp:lastModifiedBy>
  <cp:revision>2</cp:revision>
  <dcterms:created xsi:type="dcterms:W3CDTF">2025-10-15T13:55:00Z</dcterms:created>
  <dcterms:modified xsi:type="dcterms:W3CDTF">2025-10-15T14:09:00Z</dcterms:modified>
</cp:coreProperties>
</file>