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AF94" w14:textId="77777777" w:rsidR="000E0F29" w:rsidRPr="007A0C87" w:rsidRDefault="000E0F29" w:rsidP="000E0F29">
      <w:pPr>
        <w:rPr>
          <w:rFonts w:ascii="Arial" w:hAnsi="Arial" w:cs="Arial"/>
          <w:b/>
          <w:bCs/>
          <w:u w:val="single"/>
        </w:rPr>
      </w:pPr>
      <w:r w:rsidRPr="007A0C87">
        <w:rPr>
          <w:rFonts w:ascii="Arial" w:hAnsi="Arial" w:cs="Arial"/>
          <w:b/>
          <w:bCs/>
          <w:u w:val="single"/>
        </w:rPr>
        <w:t xml:space="preserve">Project title under which this data was collected: </w:t>
      </w:r>
    </w:p>
    <w:p w14:paraId="7E0B68B6" w14:textId="77777777" w:rsidR="000E0F29" w:rsidRPr="007A0C87" w:rsidRDefault="000E0F29" w:rsidP="000E0F29">
      <w:pPr>
        <w:rPr>
          <w:rFonts w:ascii="Arial" w:hAnsi="Arial" w:cs="Arial"/>
        </w:rPr>
      </w:pPr>
      <w:r w:rsidRPr="007A0C87">
        <w:rPr>
          <w:rFonts w:ascii="Arial" w:hAnsi="Arial" w:cs="Arial"/>
        </w:rPr>
        <w:t>FACE Underground: can trees in mature forests gain greater access to soil nutrients under elevated atmospheric CO</w:t>
      </w:r>
      <w:r w:rsidRPr="007A0C87">
        <w:rPr>
          <w:rFonts w:ascii="Arial" w:hAnsi="Arial" w:cs="Arial"/>
          <w:vertAlign w:val="subscript"/>
        </w:rPr>
        <w:t>2</w:t>
      </w:r>
      <w:r w:rsidRPr="007A0C87">
        <w:rPr>
          <w:rFonts w:ascii="Arial" w:hAnsi="Arial" w:cs="Arial"/>
        </w:rPr>
        <w:t xml:space="preserve">. </w:t>
      </w:r>
    </w:p>
    <w:p w14:paraId="16BD0ABA" w14:textId="3ECF2EB1" w:rsidR="000E0F29" w:rsidRPr="007A0C87" w:rsidRDefault="000E0F29" w:rsidP="000E0F29">
      <w:pPr>
        <w:rPr>
          <w:rFonts w:ascii="Arial" w:hAnsi="Arial" w:cs="Arial"/>
        </w:rPr>
      </w:pPr>
      <w:r w:rsidRPr="007A0C87">
        <w:rPr>
          <w:rFonts w:ascii="Arial" w:hAnsi="Arial" w:cs="Arial"/>
        </w:rPr>
        <w:t xml:space="preserve">The research was funded by the UK Natural Environment Research Council (NERC) grant (NE/T000449/1) awarded to the University of Birmingham, </w:t>
      </w:r>
      <w:r w:rsidR="006E5018" w:rsidRPr="007A0C87">
        <w:rPr>
          <w:rFonts w:ascii="Arial" w:hAnsi="Arial" w:cs="Arial"/>
        </w:rPr>
        <w:t xml:space="preserve">the </w:t>
      </w:r>
      <w:r w:rsidRPr="007A0C87">
        <w:rPr>
          <w:rFonts w:ascii="Arial" w:hAnsi="Arial" w:cs="Arial"/>
        </w:rPr>
        <w:t xml:space="preserve">University of </w:t>
      </w:r>
      <w:r w:rsidR="008D6072" w:rsidRPr="007A0C87">
        <w:rPr>
          <w:rFonts w:ascii="Arial" w:hAnsi="Arial" w:cs="Arial"/>
        </w:rPr>
        <w:t>Exeter,</w:t>
      </w:r>
      <w:r w:rsidRPr="007A0C87">
        <w:rPr>
          <w:rFonts w:ascii="Arial" w:hAnsi="Arial" w:cs="Arial"/>
        </w:rPr>
        <w:t xml:space="preserve"> and Lancaster University.</w:t>
      </w:r>
    </w:p>
    <w:p w14:paraId="6D5137BE" w14:textId="4F3A43C7" w:rsidR="000E0F29" w:rsidRPr="007A0C87" w:rsidRDefault="000E0F29" w:rsidP="000E0F29">
      <w:pPr>
        <w:rPr>
          <w:rFonts w:ascii="Arial" w:hAnsi="Arial" w:cs="Arial"/>
        </w:rPr>
      </w:pPr>
      <w:r w:rsidRPr="007A0C87">
        <w:rPr>
          <w:rFonts w:ascii="Arial" w:hAnsi="Arial" w:cs="Arial"/>
        </w:rPr>
        <w:t xml:space="preserve">Data collected on various parameters under the project </w:t>
      </w:r>
      <w:r w:rsidR="006E5018" w:rsidRPr="007A0C87">
        <w:rPr>
          <w:rFonts w:ascii="Arial" w:hAnsi="Arial" w:cs="Arial"/>
        </w:rPr>
        <w:t xml:space="preserve">was </w:t>
      </w:r>
      <w:r w:rsidRPr="007A0C87">
        <w:rPr>
          <w:rFonts w:ascii="Arial" w:hAnsi="Arial" w:cs="Arial"/>
        </w:rPr>
        <w:t>organi</w:t>
      </w:r>
      <w:r w:rsidR="006E5018" w:rsidRPr="007A0C87">
        <w:rPr>
          <w:rFonts w:ascii="Arial" w:hAnsi="Arial" w:cs="Arial"/>
        </w:rPr>
        <w:t>s</w:t>
      </w:r>
      <w:r w:rsidRPr="007A0C87">
        <w:rPr>
          <w:rFonts w:ascii="Arial" w:hAnsi="Arial" w:cs="Arial"/>
        </w:rPr>
        <w:t xml:space="preserve">ed into CSV data sheets. The overall data is in a single CSV file and this document </w:t>
      </w:r>
      <w:r w:rsidR="006E5018" w:rsidRPr="007A0C87">
        <w:rPr>
          <w:rFonts w:ascii="Arial" w:hAnsi="Arial" w:cs="Arial"/>
        </w:rPr>
        <w:t>provides</w:t>
      </w:r>
      <w:r w:rsidRPr="007A0C87">
        <w:rPr>
          <w:rFonts w:ascii="Arial" w:hAnsi="Arial" w:cs="Arial"/>
        </w:rPr>
        <w:t xml:space="preserve"> details of the experimental design, field and laboratory measurements and analytical methods below: </w:t>
      </w:r>
    </w:p>
    <w:p w14:paraId="7B45CBB9" w14:textId="775ABC7D" w:rsidR="000E0F29" w:rsidRPr="007A0C87" w:rsidRDefault="000E0F29">
      <w:pPr>
        <w:rPr>
          <w:rFonts w:ascii="Arial" w:hAnsi="Arial" w:cs="Arial"/>
          <w:b/>
          <w:bCs/>
          <w:u w:val="single"/>
        </w:rPr>
      </w:pPr>
      <w:r w:rsidRPr="007A0C87">
        <w:rPr>
          <w:rFonts w:ascii="Arial" w:hAnsi="Arial" w:cs="Arial"/>
          <w:b/>
          <w:bCs/>
          <w:u w:val="single"/>
        </w:rPr>
        <w:t>Experimental Design</w:t>
      </w:r>
      <w:r w:rsidR="007F1B59" w:rsidRPr="007A0C87">
        <w:rPr>
          <w:rFonts w:ascii="Arial" w:hAnsi="Arial" w:cs="Arial"/>
          <w:b/>
          <w:bCs/>
          <w:u w:val="single"/>
        </w:rPr>
        <w:t xml:space="preserve"> and Sampling</w:t>
      </w:r>
    </w:p>
    <w:p w14:paraId="28964316" w14:textId="207D592C" w:rsidR="00C44A09" w:rsidRPr="007A0C87" w:rsidRDefault="003B6535">
      <w:pPr>
        <w:rPr>
          <w:rFonts w:ascii="Arial" w:hAnsi="Arial" w:cs="Arial"/>
        </w:rPr>
      </w:pPr>
      <w:r w:rsidRPr="007A0C87">
        <w:rPr>
          <w:rFonts w:ascii="Arial" w:hAnsi="Arial" w:cs="Arial"/>
        </w:rPr>
        <w:t xml:space="preserve">The BIFoR FACE facility </w:t>
      </w:r>
      <w:r w:rsidR="006E5018" w:rsidRPr="007A0C87">
        <w:rPr>
          <w:rFonts w:ascii="Arial" w:hAnsi="Arial" w:cs="Arial"/>
        </w:rPr>
        <w:t>is in</w:t>
      </w:r>
      <w:r w:rsidRPr="007A0C87">
        <w:rPr>
          <w:rFonts w:ascii="Arial" w:hAnsi="Arial" w:cs="Arial"/>
        </w:rPr>
        <w:t xml:space="preserve"> </w:t>
      </w:r>
      <w:r w:rsidR="00C44A09" w:rsidRPr="007A0C87">
        <w:rPr>
          <w:rFonts w:ascii="Arial" w:hAnsi="Arial" w:cs="Arial"/>
        </w:rPr>
        <w:t>Staffordshire</w:t>
      </w:r>
      <w:r w:rsidR="00FC369C" w:rsidRPr="007A0C87">
        <w:rPr>
          <w:rFonts w:ascii="Arial" w:hAnsi="Arial" w:cs="Arial"/>
        </w:rPr>
        <w:t>,</w:t>
      </w:r>
      <w:r w:rsidRPr="007A0C87">
        <w:rPr>
          <w:rFonts w:ascii="Arial" w:hAnsi="Arial" w:cs="Arial"/>
        </w:rPr>
        <w:t xml:space="preserve"> England (</w:t>
      </w:r>
      <w:r w:rsidR="00FC369C" w:rsidRPr="007A0C87">
        <w:rPr>
          <w:rFonts w:ascii="Arial" w:hAnsi="Arial" w:cs="Arial"/>
        </w:rPr>
        <w:t xml:space="preserve">coordinates: </w:t>
      </w:r>
      <w:r w:rsidRPr="007A0C87">
        <w:rPr>
          <w:rFonts w:ascii="Arial" w:hAnsi="Arial" w:cs="Arial"/>
        </w:rPr>
        <w:t>52.801°N, 2.301°W), United Kingdom. The facility is situated within a temperate, deciduous forest with a </w:t>
      </w:r>
      <w:r w:rsidRPr="007A0C87">
        <w:rPr>
          <w:rFonts w:ascii="Arial" w:hAnsi="Arial" w:cs="Arial"/>
          <w:i/>
          <w:iCs/>
        </w:rPr>
        <w:t>Quercus robur</w:t>
      </w:r>
      <w:r w:rsidRPr="007A0C87">
        <w:rPr>
          <w:rFonts w:ascii="Arial" w:hAnsi="Arial" w:cs="Arial"/>
        </w:rPr>
        <w:t> (pedunculate oak) upper canopy</w:t>
      </w:r>
      <w:r w:rsidR="00FC369C" w:rsidRPr="007A0C87">
        <w:rPr>
          <w:rFonts w:ascii="Arial" w:hAnsi="Arial" w:cs="Arial"/>
        </w:rPr>
        <w:t xml:space="preserve"> and an understory of </w:t>
      </w:r>
      <w:r w:rsidR="00FC369C" w:rsidRPr="007A0C87">
        <w:rPr>
          <w:rFonts w:ascii="Arial" w:hAnsi="Arial" w:cs="Arial"/>
          <w:i/>
          <w:iCs/>
        </w:rPr>
        <w:t>Corylus avellana</w:t>
      </w:r>
      <w:r w:rsidR="00FC369C" w:rsidRPr="007A0C87">
        <w:rPr>
          <w:rFonts w:ascii="Arial" w:hAnsi="Arial" w:cs="Arial"/>
        </w:rPr>
        <w:t xml:space="preserve"> (common hazel) coppice </w:t>
      </w:r>
      <w:r w:rsidRPr="007A0C87">
        <w:rPr>
          <w:rFonts w:ascii="Arial" w:hAnsi="Arial" w:cs="Arial"/>
        </w:rPr>
        <w:t xml:space="preserve">that covers </w:t>
      </w:r>
      <w:r w:rsidR="00FC369C" w:rsidRPr="007A0C87">
        <w:rPr>
          <w:rFonts w:ascii="Arial" w:hAnsi="Arial" w:cs="Arial"/>
        </w:rPr>
        <w:t xml:space="preserve">about 20 ha </w:t>
      </w:r>
      <w:r w:rsidR="006E5018" w:rsidRPr="007A0C87">
        <w:rPr>
          <w:rFonts w:ascii="Arial" w:hAnsi="Arial" w:cs="Arial"/>
        </w:rPr>
        <w:t xml:space="preserve">of </w:t>
      </w:r>
      <w:r w:rsidR="00FC369C" w:rsidRPr="007A0C87">
        <w:rPr>
          <w:rFonts w:ascii="Arial" w:hAnsi="Arial" w:cs="Arial"/>
        </w:rPr>
        <w:t>land.</w:t>
      </w:r>
      <w:r w:rsidRPr="007A0C87">
        <w:rPr>
          <w:rFonts w:ascii="Arial" w:hAnsi="Arial" w:cs="Arial"/>
        </w:rPr>
        <w:t xml:space="preserve"> </w:t>
      </w:r>
      <w:r w:rsidR="006E5018" w:rsidRPr="007A0C87">
        <w:rPr>
          <w:rFonts w:ascii="Arial" w:hAnsi="Arial" w:cs="Arial"/>
        </w:rPr>
        <w:t>The</w:t>
      </w:r>
      <w:r w:rsidRPr="007A0C87">
        <w:rPr>
          <w:rFonts w:ascii="Arial" w:hAnsi="Arial" w:cs="Arial"/>
        </w:rPr>
        <w:t xml:space="preserve"> lowest point of the facility is at the site offices and </w:t>
      </w:r>
      <w:r w:rsidR="006E5018" w:rsidRPr="007A0C87">
        <w:rPr>
          <w:rFonts w:ascii="Arial" w:hAnsi="Arial" w:cs="Arial"/>
        </w:rPr>
        <w:t xml:space="preserve">the </w:t>
      </w:r>
      <w:r w:rsidRPr="007A0C87">
        <w:rPr>
          <w:rFonts w:ascii="Arial" w:hAnsi="Arial" w:cs="Arial"/>
        </w:rPr>
        <w:t>CO</w:t>
      </w:r>
      <w:r w:rsidRPr="007A0C87">
        <w:rPr>
          <w:rFonts w:ascii="Arial" w:hAnsi="Arial" w:cs="Arial"/>
          <w:vertAlign w:val="subscript"/>
        </w:rPr>
        <w:t>2</w:t>
      </w:r>
      <w:r w:rsidRPr="007A0C87">
        <w:rPr>
          <w:rFonts w:ascii="Arial" w:hAnsi="Arial" w:cs="Arial"/>
        </w:rPr>
        <w:t> storage plant is at +92 m a.s.l</w:t>
      </w:r>
      <w:r w:rsidR="00BB3E3F" w:rsidRPr="007A0C87">
        <w:rPr>
          <w:rFonts w:ascii="Arial" w:hAnsi="Arial" w:cs="Arial"/>
        </w:rPr>
        <w:t xml:space="preserve"> (Hart et al. 20</w:t>
      </w:r>
      <w:r w:rsidR="00A95870">
        <w:rPr>
          <w:rFonts w:ascii="Arial" w:hAnsi="Arial" w:cs="Arial"/>
        </w:rPr>
        <w:t>20</w:t>
      </w:r>
      <w:r w:rsidR="00BB3E3F" w:rsidRPr="007A0C87">
        <w:rPr>
          <w:rFonts w:ascii="Arial" w:hAnsi="Arial" w:cs="Arial"/>
        </w:rPr>
        <w:t xml:space="preserve">). </w:t>
      </w:r>
      <w:r w:rsidRPr="007A0C87">
        <w:rPr>
          <w:rFonts w:ascii="Arial" w:hAnsi="Arial" w:cs="Arial"/>
        </w:rPr>
        <w:t>The dominant soil is Orthic Luvisol (</w:t>
      </w:r>
      <w:r w:rsidR="007A0C87">
        <w:rPr>
          <w:rFonts w:ascii="Arial" w:hAnsi="Arial" w:cs="Arial"/>
        </w:rPr>
        <w:t>BGS 2018</w:t>
      </w:r>
      <w:r w:rsidR="007C4D74" w:rsidRPr="007A0C87">
        <w:rPr>
          <w:rFonts w:ascii="Arial" w:hAnsi="Arial" w:cs="Arial"/>
        </w:rPr>
        <w:t>)</w:t>
      </w:r>
      <w:r w:rsidRPr="007A0C87">
        <w:rPr>
          <w:rFonts w:ascii="Arial" w:hAnsi="Arial" w:cs="Arial"/>
        </w:rPr>
        <w:t xml:space="preserve"> with a mul-moder humus classification. </w:t>
      </w:r>
      <w:r w:rsidR="006E5018" w:rsidRPr="007A0C87">
        <w:rPr>
          <w:rFonts w:ascii="Arial" w:hAnsi="Arial" w:cs="Arial"/>
        </w:rPr>
        <w:t>The underlying</w:t>
      </w:r>
      <w:r w:rsidRPr="007A0C87">
        <w:rPr>
          <w:rFonts w:ascii="Arial" w:hAnsi="Arial" w:cs="Arial"/>
        </w:rPr>
        <w:t xml:space="preserve"> geology is a Helsby sandstone formation (</w:t>
      </w:r>
      <w:r w:rsidR="007C4D74" w:rsidRPr="007A0C87">
        <w:rPr>
          <w:rFonts w:ascii="Arial" w:hAnsi="Arial" w:cs="Arial"/>
        </w:rPr>
        <w:t>Hart et al. 20</w:t>
      </w:r>
      <w:r w:rsidR="00A95870">
        <w:rPr>
          <w:rFonts w:ascii="Arial" w:hAnsi="Arial" w:cs="Arial"/>
        </w:rPr>
        <w:t>20</w:t>
      </w:r>
      <w:r w:rsidRPr="007A0C87">
        <w:rPr>
          <w:rFonts w:ascii="Arial" w:hAnsi="Arial" w:cs="Arial"/>
        </w:rPr>
        <w:t>)</w:t>
      </w:r>
      <w:r w:rsidR="00BB3E3F" w:rsidRPr="007A0C87">
        <w:rPr>
          <w:rFonts w:ascii="Arial" w:hAnsi="Arial" w:cs="Arial"/>
        </w:rPr>
        <w:t xml:space="preserve">, which is overlain by glacial till. The soils at the site overlie the glacial till and the depth of the soil varies from 30 to 50 cm with distinct O, A, and B horizons (Hollis et al. 2022, for further details). </w:t>
      </w:r>
    </w:p>
    <w:p w14:paraId="67CE2603" w14:textId="58ACEBC5" w:rsidR="00C44A09" w:rsidRPr="007A0C87" w:rsidRDefault="00C44A09" w:rsidP="00C44A09">
      <w:pPr>
        <w:rPr>
          <w:rFonts w:ascii="Arial" w:hAnsi="Arial" w:cs="Arial"/>
        </w:rPr>
      </w:pPr>
      <w:r w:rsidRPr="007A0C87">
        <w:rPr>
          <w:rFonts w:ascii="Arial" w:hAnsi="Arial" w:cs="Arial"/>
        </w:rPr>
        <w:t>The BIFoR FACE facility consists of six experimental arrays (CO</w:t>
      </w:r>
      <w:r w:rsidRPr="007A0C87">
        <w:rPr>
          <w:rFonts w:ascii="Arial" w:hAnsi="Arial" w:cs="Arial"/>
          <w:vertAlign w:val="subscript"/>
        </w:rPr>
        <w:t>2</w:t>
      </w:r>
      <w:r w:rsidRPr="007A0C87">
        <w:rPr>
          <w:rFonts w:ascii="Arial" w:hAnsi="Arial" w:cs="Arial"/>
        </w:rPr>
        <w:t> enriched, </w:t>
      </w:r>
      <w:r w:rsidRPr="007A0C87">
        <w:rPr>
          <w:rFonts w:ascii="Arial" w:hAnsi="Arial" w:cs="Arial"/>
          <w:i/>
          <w:iCs/>
        </w:rPr>
        <w:t>n</w:t>
      </w:r>
      <w:r w:rsidRPr="007A0C87">
        <w:rPr>
          <w:rFonts w:ascii="Arial" w:hAnsi="Arial" w:cs="Arial"/>
        </w:rPr>
        <w:t> = </w:t>
      </w:r>
      <w:r w:rsidR="006E5018" w:rsidRPr="007A0C87">
        <w:rPr>
          <w:rFonts w:ascii="Arial" w:hAnsi="Arial" w:cs="Arial"/>
        </w:rPr>
        <w:t>3; and</w:t>
      </w:r>
      <w:r w:rsidRPr="007A0C87">
        <w:rPr>
          <w:rFonts w:ascii="Arial" w:hAnsi="Arial" w:cs="Arial"/>
        </w:rPr>
        <w:t xml:space="preserve"> non-enriched under ambient CO2 controls, </w:t>
      </w:r>
      <w:r w:rsidRPr="007A0C87">
        <w:rPr>
          <w:rFonts w:ascii="Arial" w:hAnsi="Arial" w:cs="Arial"/>
          <w:i/>
          <w:iCs/>
        </w:rPr>
        <w:t>n</w:t>
      </w:r>
      <w:r w:rsidRPr="007A0C87">
        <w:rPr>
          <w:rFonts w:ascii="Arial" w:hAnsi="Arial" w:cs="Arial"/>
        </w:rPr>
        <w:t xml:space="preserve"> = 3). Arrays are paired so that a control (c) array is next to a corresponding enriched array in </w:t>
      </w:r>
      <w:r w:rsidR="006E5018" w:rsidRPr="007A0C87">
        <w:rPr>
          <w:rFonts w:ascii="Arial" w:hAnsi="Arial" w:cs="Arial"/>
        </w:rPr>
        <w:t>real-time</w:t>
      </w:r>
      <w:r w:rsidRPr="007A0C87">
        <w:rPr>
          <w:rFonts w:ascii="Arial" w:hAnsi="Arial" w:cs="Arial"/>
        </w:rPr>
        <w:t>, but only with ambient air and ambient atmospheric CO2 concentrations The FACE arrays operate up to 18 hr per day (05:00–22:00) between budburst to leaf fall, approximately 1 April to 1 November, depending on the solar angle (Hart et al. 20</w:t>
      </w:r>
      <w:r w:rsidR="00CB5D01">
        <w:rPr>
          <w:rFonts w:ascii="Arial" w:hAnsi="Arial" w:cs="Arial"/>
        </w:rPr>
        <w:t>20</w:t>
      </w:r>
      <w:r w:rsidRPr="007A0C87">
        <w:rPr>
          <w:rFonts w:ascii="Arial" w:hAnsi="Arial" w:cs="Arial"/>
        </w:rPr>
        <w:t xml:space="preserve">). The </w:t>
      </w:r>
      <w:r w:rsidR="00DF1119" w:rsidRPr="007A0C87">
        <w:rPr>
          <w:rFonts w:ascii="Arial" w:hAnsi="Arial" w:cs="Arial"/>
        </w:rPr>
        <w:t xml:space="preserve">CO2 enrichment </w:t>
      </w:r>
      <w:r w:rsidRPr="007A0C87">
        <w:rPr>
          <w:rFonts w:ascii="Arial" w:hAnsi="Arial" w:cs="Arial"/>
        </w:rPr>
        <w:t xml:space="preserve">target </w:t>
      </w:r>
      <w:r w:rsidR="00DF1119" w:rsidRPr="007A0C87">
        <w:rPr>
          <w:rFonts w:ascii="Arial" w:hAnsi="Arial" w:cs="Arial"/>
        </w:rPr>
        <w:t xml:space="preserve">is </w:t>
      </w:r>
      <w:r w:rsidR="006E5018" w:rsidRPr="007A0C87">
        <w:rPr>
          <w:rFonts w:ascii="Arial" w:hAnsi="Arial" w:cs="Arial"/>
        </w:rPr>
        <w:t xml:space="preserve">an </w:t>
      </w:r>
      <w:r w:rsidR="00DF1119" w:rsidRPr="007A0C87">
        <w:rPr>
          <w:rFonts w:ascii="Arial" w:hAnsi="Arial" w:cs="Arial"/>
        </w:rPr>
        <w:t xml:space="preserve">addition </w:t>
      </w:r>
      <w:r w:rsidRPr="007A0C87">
        <w:rPr>
          <w:rFonts w:ascii="Arial" w:hAnsi="Arial" w:cs="Arial"/>
        </w:rPr>
        <w:t xml:space="preserve">of +150 µmol/mol (150 parts per million by volume) above ambient </w:t>
      </w:r>
      <w:r w:rsidR="00DF1119" w:rsidRPr="007A0C87">
        <w:rPr>
          <w:rFonts w:ascii="Arial" w:hAnsi="Arial" w:cs="Arial"/>
        </w:rPr>
        <w:t xml:space="preserve">atmospheric CO2 </w:t>
      </w:r>
      <w:r w:rsidRPr="007A0C87">
        <w:rPr>
          <w:rFonts w:ascii="Arial" w:hAnsi="Arial" w:cs="Arial"/>
        </w:rPr>
        <w:t xml:space="preserve">at the top of the canopy </w:t>
      </w:r>
      <w:r w:rsidR="00DF1119" w:rsidRPr="007A0C87">
        <w:rPr>
          <w:rFonts w:ascii="Arial" w:hAnsi="Arial" w:cs="Arial"/>
        </w:rPr>
        <w:t xml:space="preserve">in the centre of each array. </w:t>
      </w:r>
    </w:p>
    <w:p w14:paraId="6711105D" w14:textId="37B854CD" w:rsidR="00F70D44" w:rsidRPr="007A0C87" w:rsidRDefault="00DF1119" w:rsidP="00C44A09">
      <w:pPr>
        <w:rPr>
          <w:rFonts w:ascii="Arial" w:hAnsi="Arial" w:cs="Arial"/>
        </w:rPr>
      </w:pPr>
      <w:r w:rsidRPr="007A0C87">
        <w:rPr>
          <w:rFonts w:ascii="Arial" w:hAnsi="Arial" w:cs="Arial"/>
        </w:rPr>
        <w:t xml:space="preserve">For </w:t>
      </w:r>
      <w:r w:rsidR="006E5018" w:rsidRPr="007A0C87">
        <w:rPr>
          <w:rFonts w:ascii="Arial" w:hAnsi="Arial" w:cs="Arial"/>
        </w:rPr>
        <w:t xml:space="preserve">the </w:t>
      </w:r>
      <w:r w:rsidRPr="007A0C87">
        <w:rPr>
          <w:rFonts w:ascii="Arial" w:hAnsi="Arial" w:cs="Arial"/>
        </w:rPr>
        <w:t xml:space="preserve">research under the FACE Underground project, soil samples were collected at five locations </w:t>
      </w:r>
      <w:r w:rsidR="00B2208D" w:rsidRPr="007A0C87">
        <w:rPr>
          <w:rFonts w:ascii="Arial" w:hAnsi="Arial" w:cs="Arial"/>
        </w:rPr>
        <w:t>(pse</w:t>
      </w:r>
      <w:r w:rsidR="007C4D74" w:rsidRPr="007A0C87">
        <w:rPr>
          <w:rFonts w:ascii="Arial" w:hAnsi="Arial" w:cs="Arial"/>
        </w:rPr>
        <w:t>u</w:t>
      </w:r>
      <w:r w:rsidR="00B2208D" w:rsidRPr="007A0C87">
        <w:rPr>
          <w:rFonts w:ascii="Arial" w:hAnsi="Arial" w:cs="Arial"/>
        </w:rPr>
        <w:t xml:space="preserve">do-replicates) </w:t>
      </w:r>
      <w:r w:rsidRPr="007A0C87">
        <w:rPr>
          <w:rFonts w:ascii="Arial" w:hAnsi="Arial" w:cs="Arial"/>
        </w:rPr>
        <w:t xml:space="preserve">within each location </w:t>
      </w:r>
      <w:r w:rsidR="00B2208D" w:rsidRPr="007A0C87">
        <w:rPr>
          <w:rFonts w:ascii="Arial" w:hAnsi="Arial" w:cs="Arial"/>
        </w:rPr>
        <w:t>for the characterization of nitrogen mineralization</w:t>
      </w:r>
      <w:r w:rsidR="009B508C" w:rsidRPr="007A0C87">
        <w:rPr>
          <w:rFonts w:ascii="Arial" w:hAnsi="Arial" w:cs="Arial"/>
        </w:rPr>
        <w:t xml:space="preserve"> processes</w:t>
      </w:r>
      <w:r w:rsidR="004B6ED7" w:rsidRPr="007A0C87">
        <w:rPr>
          <w:rFonts w:ascii="Arial" w:hAnsi="Arial" w:cs="Arial"/>
        </w:rPr>
        <w:t xml:space="preserve"> using isotope tracing. </w:t>
      </w:r>
      <w:r w:rsidR="00C30329" w:rsidRPr="007A0C87">
        <w:rPr>
          <w:rFonts w:ascii="Arial" w:hAnsi="Arial" w:cs="Arial"/>
        </w:rPr>
        <w:t xml:space="preserve"> </w:t>
      </w:r>
      <w:r w:rsidR="0002214C" w:rsidRPr="007A0C87">
        <w:rPr>
          <w:rFonts w:ascii="Arial" w:hAnsi="Arial" w:cs="Arial"/>
        </w:rPr>
        <w:t>Sieved</w:t>
      </w:r>
      <w:r w:rsidR="00C30329" w:rsidRPr="007A0C87">
        <w:rPr>
          <w:rFonts w:ascii="Arial" w:hAnsi="Arial" w:cs="Arial"/>
        </w:rPr>
        <w:t xml:space="preserve"> soils &lt;2 mm) were put into size exclusion meshes</w:t>
      </w:r>
      <w:r w:rsidR="00D50FAC" w:rsidRPr="007A0C87">
        <w:rPr>
          <w:rFonts w:ascii="Arial" w:hAnsi="Arial" w:cs="Arial"/>
        </w:rPr>
        <w:t xml:space="preserve"> with oak leaves and root litter </w:t>
      </w:r>
      <w:r w:rsidR="0002214C" w:rsidRPr="007A0C87">
        <w:rPr>
          <w:rFonts w:ascii="Arial" w:hAnsi="Arial" w:cs="Arial"/>
        </w:rPr>
        <w:t xml:space="preserve">were buried </w:t>
      </w:r>
      <w:r w:rsidR="00CD2B7C" w:rsidRPr="007A0C87">
        <w:rPr>
          <w:rFonts w:ascii="Arial" w:hAnsi="Arial" w:cs="Arial"/>
        </w:rPr>
        <w:t>at three pseudo</w:t>
      </w:r>
      <w:r w:rsidR="005F3021">
        <w:rPr>
          <w:rFonts w:ascii="Arial" w:hAnsi="Arial" w:cs="Arial"/>
        </w:rPr>
        <w:t>-</w:t>
      </w:r>
      <w:r w:rsidR="00CD2B7C" w:rsidRPr="007A0C87">
        <w:rPr>
          <w:rFonts w:ascii="Arial" w:hAnsi="Arial" w:cs="Arial"/>
        </w:rPr>
        <w:t xml:space="preserve">replicate </w:t>
      </w:r>
      <w:r w:rsidR="008D6072" w:rsidRPr="007A0C87">
        <w:rPr>
          <w:rFonts w:ascii="Arial" w:hAnsi="Arial" w:cs="Arial"/>
        </w:rPr>
        <w:t>plots</w:t>
      </w:r>
      <w:r w:rsidR="00CD2B7C" w:rsidRPr="007A0C87">
        <w:rPr>
          <w:rFonts w:ascii="Arial" w:hAnsi="Arial" w:cs="Arial"/>
        </w:rPr>
        <w:t xml:space="preserve"> within each array </w:t>
      </w:r>
      <w:r w:rsidR="00F70D44" w:rsidRPr="007A0C87">
        <w:rPr>
          <w:rFonts w:ascii="Arial" w:hAnsi="Arial" w:cs="Arial"/>
        </w:rPr>
        <w:t xml:space="preserve">with true replicates of three (three elevated and three ambient CO2 arrays) </w:t>
      </w:r>
      <w:r w:rsidR="00CD2B7C" w:rsidRPr="007A0C87">
        <w:rPr>
          <w:rFonts w:ascii="Arial" w:hAnsi="Arial" w:cs="Arial"/>
        </w:rPr>
        <w:t xml:space="preserve">for </w:t>
      </w:r>
      <w:r w:rsidR="00D50FAC" w:rsidRPr="007A0C87">
        <w:rPr>
          <w:rFonts w:ascii="Arial" w:hAnsi="Arial" w:cs="Arial"/>
        </w:rPr>
        <w:t>within the measurement of decomposition</w:t>
      </w:r>
      <w:r w:rsidR="003769C5" w:rsidRPr="007A0C87">
        <w:rPr>
          <w:rFonts w:ascii="Arial" w:hAnsi="Arial" w:cs="Arial"/>
        </w:rPr>
        <w:t xml:space="preserve"> rates, quantification of Arbuscular </w:t>
      </w:r>
      <w:r w:rsidR="006E5018" w:rsidRPr="007A0C87">
        <w:rPr>
          <w:rFonts w:ascii="Arial" w:hAnsi="Arial" w:cs="Arial"/>
        </w:rPr>
        <w:t>Mycorrhizae</w:t>
      </w:r>
      <w:r w:rsidR="000B3CF0" w:rsidRPr="007A0C87">
        <w:rPr>
          <w:rFonts w:ascii="Arial" w:hAnsi="Arial" w:cs="Arial"/>
        </w:rPr>
        <w:t xml:space="preserve"> (AMF)</w:t>
      </w:r>
      <w:r w:rsidR="003769C5" w:rsidRPr="007A0C87">
        <w:rPr>
          <w:rFonts w:ascii="Arial" w:hAnsi="Arial" w:cs="Arial"/>
        </w:rPr>
        <w:t xml:space="preserve">, </w:t>
      </w:r>
      <w:r w:rsidR="005D630E" w:rsidRPr="007A0C87">
        <w:rPr>
          <w:rFonts w:ascii="Arial" w:hAnsi="Arial" w:cs="Arial"/>
        </w:rPr>
        <w:t xml:space="preserve">and </w:t>
      </w:r>
      <w:r w:rsidR="006E5018" w:rsidRPr="007A0C87">
        <w:rPr>
          <w:rFonts w:ascii="Arial" w:hAnsi="Arial" w:cs="Arial"/>
        </w:rPr>
        <w:t>Ectomycorrhiza</w:t>
      </w:r>
      <w:r w:rsidR="000B3CF0" w:rsidRPr="007A0C87">
        <w:rPr>
          <w:rFonts w:ascii="Arial" w:hAnsi="Arial" w:cs="Arial"/>
        </w:rPr>
        <w:t xml:space="preserve"> (ECM)</w:t>
      </w:r>
      <w:r w:rsidR="00F70D44" w:rsidRPr="007A0C87">
        <w:rPr>
          <w:rFonts w:ascii="Arial" w:hAnsi="Arial" w:cs="Arial"/>
        </w:rPr>
        <w:t>, enzyme functions, pH, total soil C and N of the decomposed organic matter and soils.</w:t>
      </w:r>
      <w:r w:rsidR="008E4820" w:rsidRPr="007A0C87">
        <w:rPr>
          <w:rFonts w:ascii="Arial" w:hAnsi="Arial" w:cs="Arial"/>
        </w:rPr>
        <w:t xml:space="preserve"> </w:t>
      </w:r>
      <w:r w:rsidR="00F70D44" w:rsidRPr="007A0C87">
        <w:rPr>
          <w:rFonts w:ascii="Arial" w:hAnsi="Arial" w:cs="Arial"/>
        </w:rPr>
        <w:t xml:space="preserve">Root </w:t>
      </w:r>
      <w:r w:rsidR="006E5018" w:rsidRPr="007A0C87">
        <w:rPr>
          <w:rFonts w:ascii="Arial" w:hAnsi="Arial" w:cs="Arial"/>
        </w:rPr>
        <w:t>exudations</w:t>
      </w:r>
      <w:r w:rsidR="00F70D44" w:rsidRPr="007A0C87">
        <w:rPr>
          <w:rFonts w:ascii="Arial" w:hAnsi="Arial" w:cs="Arial"/>
        </w:rPr>
        <w:t xml:space="preserve"> were measured via root boxes installed (3 boxes in each array)</w:t>
      </w:r>
      <w:r w:rsidR="008E4820" w:rsidRPr="007A0C87">
        <w:rPr>
          <w:rFonts w:ascii="Arial" w:hAnsi="Arial" w:cs="Arial"/>
        </w:rPr>
        <w:t xml:space="preserve">. In each root box, at least </w:t>
      </w:r>
      <w:r w:rsidR="00FE72ED" w:rsidRPr="007A0C87">
        <w:rPr>
          <w:rFonts w:ascii="Arial" w:hAnsi="Arial" w:cs="Arial"/>
        </w:rPr>
        <w:t>two</w:t>
      </w:r>
      <w:r w:rsidR="008E4820" w:rsidRPr="007A0C87">
        <w:rPr>
          <w:rFonts w:ascii="Arial" w:hAnsi="Arial" w:cs="Arial"/>
        </w:rPr>
        <w:t xml:space="preserve"> 10 cm long fine root segment</w:t>
      </w:r>
      <w:r w:rsidR="00FE72ED" w:rsidRPr="007A0C87">
        <w:rPr>
          <w:rFonts w:ascii="Arial" w:hAnsi="Arial" w:cs="Arial"/>
        </w:rPr>
        <w:t>s</w:t>
      </w:r>
      <w:r w:rsidR="008E4820" w:rsidRPr="007A0C87">
        <w:rPr>
          <w:rFonts w:ascii="Arial" w:hAnsi="Arial" w:cs="Arial"/>
        </w:rPr>
        <w:t xml:space="preserve"> w</w:t>
      </w:r>
      <w:r w:rsidR="00FE72ED" w:rsidRPr="007A0C87">
        <w:rPr>
          <w:rFonts w:ascii="Arial" w:hAnsi="Arial" w:cs="Arial"/>
        </w:rPr>
        <w:t>ere</w:t>
      </w:r>
      <w:r w:rsidR="008E4820" w:rsidRPr="007A0C87">
        <w:rPr>
          <w:rFonts w:ascii="Arial" w:hAnsi="Arial" w:cs="Arial"/>
        </w:rPr>
        <w:t xml:space="preserve"> used for exudation collection. Root uptake preferences were measured using the same root boxes set up and root length. </w:t>
      </w:r>
    </w:p>
    <w:p w14:paraId="7C63EFDC" w14:textId="77777777" w:rsidR="004B6ED7" w:rsidRPr="007A0C87" w:rsidRDefault="004B6ED7" w:rsidP="00C44A09">
      <w:pPr>
        <w:rPr>
          <w:rFonts w:ascii="Arial" w:hAnsi="Arial" w:cs="Arial"/>
        </w:rPr>
      </w:pPr>
    </w:p>
    <w:p w14:paraId="17563131" w14:textId="77777777" w:rsidR="006E5018" w:rsidRPr="007A0C87" w:rsidRDefault="006E5018" w:rsidP="00C44A09">
      <w:pPr>
        <w:rPr>
          <w:rFonts w:ascii="Arial" w:hAnsi="Arial" w:cs="Arial"/>
          <w:b/>
          <w:bCs/>
        </w:rPr>
      </w:pPr>
    </w:p>
    <w:p w14:paraId="203E3233" w14:textId="77777777" w:rsidR="00A06175" w:rsidRPr="007A0C87" w:rsidRDefault="00A06175" w:rsidP="00C44A09">
      <w:pPr>
        <w:rPr>
          <w:rFonts w:ascii="Arial" w:hAnsi="Arial" w:cs="Arial"/>
          <w:b/>
          <w:bCs/>
          <w:u w:val="single"/>
        </w:rPr>
        <w:sectPr w:rsidR="00A06175" w:rsidRPr="007A0C87">
          <w:pgSz w:w="11906" w:h="16838"/>
          <w:pgMar w:top="1440" w:right="1440" w:bottom="1440" w:left="1440" w:header="708" w:footer="708" w:gutter="0"/>
          <w:cols w:space="708"/>
          <w:docGrid w:linePitch="360"/>
        </w:sectPr>
      </w:pPr>
    </w:p>
    <w:p w14:paraId="23E96634" w14:textId="685BBCB3" w:rsidR="007F1B59" w:rsidRPr="007A0C87" w:rsidRDefault="00EC1263" w:rsidP="00C44A09">
      <w:pPr>
        <w:rPr>
          <w:rFonts w:ascii="Arial" w:hAnsi="Arial" w:cs="Arial"/>
          <w:b/>
          <w:bCs/>
          <w:u w:val="single"/>
        </w:rPr>
      </w:pPr>
      <w:r w:rsidRPr="007A0C87">
        <w:rPr>
          <w:rFonts w:ascii="Arial" w:hAnsi="Arial" w:cs="Arial"/>
          <w:b/>
          <w:bCs/>
          <w:u w:val="single"/>
        </w:rPr>
        <w:lastRenderedPageBreak/>
        <w:t>Field and l</w:t>
      </w:r>
      <w:r w:rsidR="007F1B59" w:rsidRPr="007A0C87">
        <w:rPr>
          <w:rFonts w:ascii="Arial" w:hAnsi="Arial" w:cs="Arial"/>
          <w:b/>
          <w:bCs/>
          <w:u w:val="single"/>
        </w:rPr>
        <w:t>aboratory characteri</w:t>
      </w:r>
      <w:r w:rsidR="006F0937" w:rsidRPr="007A0C87">
        <w:rPr>
          <w:rFonts w:ascii="Arial" w:hAnsi="Arial" w:cs="Arial"/>
          <w:b/>
          <w:bCs/>
          <w:u w:val="single"/>
        </w:rPr>
        <w:t>s</w:t>
      </w:r>
      <w:r w:rsidR="007F1B59" w:rsidRPr="007A0C87">
        <w:rPr>
          <w:rFonts w:ascii="Arial" w:hAnsi="Arial" w:cs="Arial"/>
          <w:b/>
          <w:bCs/>
          <w:u w:val="single"/>
        </w:rPr>
        <w:t>ation of variables</w:t>
      </w:r>
      <w:r w:rsidRPr="007A0C87">
        <w:rPr>
          <w:rFonts w:ascii="Arial" w:hAnsi="Arial" w:cs="Arial"/>
          <w:b/>
          <w:bCs/>
          <w:u w:val="single"/>
        </w:rPr>
        <w:t xml:space="preserve"> using analytical instruments</w:t>
      </w:r>
    </w:p>
    <w:p w14:paraId="2B462721" w14:textId="4F83EE2D" w:rsidR="00CF1755" w:rsidRPr="007A0C87" w:rsidRDefault="00CF1755" w:rsidP="00C44A09">
      <w:pPr>
        <w:rPr>
          <w:rFonts w:ascii="Arial" w:hAnsi="Arial" w:cs="Arial"/>
          <w:b/>
          <w:bCs/>
          <w:u w:val="single"/>
        </w:rPr>
      </w:pPr>
      <w:r w:rsidRPr="007A0C87">
        <w:rPr>
          <w:rFonts w:ascii="Arial" w:hAnsi="Arial" w:cs="Arial"/>
          <w:b/>
          <w:bCs/>
          <w:u w:val="single"/>
        </w:rPr>
        <w:t xml:space="preserve">Soils and </w:t>
      </w:r>
      <w:r w:rsidR="006F0937" w:rsidRPr="007A0C87">
        <w:rPr>
          <w:rFonts w:ascii="Arial" w:hAnsi="Arial" w:cs="Arial"/>
          <w:b/>
          <w:bCs/>
          <w:u w:val="single"/>
        </w:rPr>
        <w:t>tissue</w:t>
      </w:r>
      <w:r w:rsidRPr="007A0C87">
        <w:rPr>
          <w:rFonts w:ascii="Arial" w:hAnsi="Arial" w:cs="Arial"/>
          <w:b/>
          <w:bCs/>
          <w:u w:val="single"/>
        </w:rPr>
        <w:t xml:space="preserve"> analysis</w:t>
      </w:r>
    </w:p>
    <w:p w14:paraId="6F089F2D" w14:textId="77945008" w:rsidR="00643577" w:rsidRPr="007A0C87" w:rsidRDefault="00391DBF" w:rsidP="00C44A09">
      <w:pPr>
        <w:rPr>
          <w:rFonts w:ascii="Arial" w:hAnsi="Arial" w:cs="Arial"/>
        </w:rPr>
      </w:pPr>
      <w:r w:rsidRPr="007A0C87">
        <w:rPr>
          <w:rFonts w:ascii="Arial" w:hAnsi="Arial" w:cs="Arial"/>
        </w:rPr>
        <w:t>For soil analysis</w:t>
      </w:r>
      <w:r w:rsidR="006E5018" w:rsidRPr="007A0C87">
        <w:rPr>
          <w:rFonts w:ascii="Arial" w:hAnsi="Arial" w:cs="Arial"/>
        </w:rPr>
        <w:t>,</w:t>
      </w:r>
      <w:r w:rsidRPr="007A0C87">
        <w:rPr>
          <w:rFonts w:ascii="Arial" w:hAnsi="Arial" w:cs="Arial"/>
        </w:rPr>
        <w:t xml:space="preserve"> each soil sample was manually homogenised and sieved (&lt;2 mm size mesh) at field moisture. Soil moisture was then determined gravimetrically by drying at 105 °C for 24 h. Homogenised field moist soils (1 g) were extracted at a ratio of 5:1 with 5 mL 2 M KCl for the determination of exchangeable ammonium and nitrate,</w:t>
      </w:r>
      <w:r w:rsidR="006E5018" w:rsidRPr="007A0C87">
        <w:rPr>
          <w:rFonts w:ascii="Arial" w:hAnsi="Arial" w:cs="Arial"/>
        </w:rPr>
        <w:t xml:space="preserve"> </w:t>
      </w:r>
      <w:r w:rsidR="006F0937" w:rsidRPr="007A0C87">
        <w:rPr>
          <w:rFonts w:ascii="Arial" w:hAnsi="Arial" w:cs="Arial"/>
        </w:rPr>
        <w:t>at the same time</w:t>
      </w:r>
      <w:r w:rsidRPr="007A0C87">
        <w:rPr>
          <w:rFonts w:ascii="Arial" w:hAnsi="Arial" w:cs="Arial"/>
        </w:rPr>
        <w:t xml:space="preserve"> 5 g were extracted with 25 mL of deionised water for the determination of </w:t>
      </w:r>
      <w:hyperlink r:id="rId6" w:tooltip="Learn more about dissolved organic carbon from ScienceDirect's AI-generated Topic Pages" w:history="1">
        <w:r w:rsidRPr="007A0C87">
          <w:rPr>
            <w:rStyle w:val="Hyperlink"/>
            <w:rFonts w:ascii="Arial" w:hAnsi="Arial" w:cs="Arial"/>
          </w:rPr>
          <w:t>dissolved organic carbon</w:t>
        </w:r>
      </w:hyperlink>
      <w:r w:rsidRPr="007A0C87">
        <w:rPr>
          <w:rFonts w:ascii="Arial" w:hAnsi="Arial" w:cs="Arial"/>
        </w:rPr>
        <w:t xml:space="preserve"> (DOC) and total dissolved nitrogen (TN). The soil slurries were continuously shaken on a reciprocating shaker at 200 rpm for 1 h before being centrifuged at 5000 rpm for 10 min followed by filtration with 0.22 μm 25 mm PES syringe filters. </w:t>
      </w:r>
    </w:p>
    <w:p w14:paraId="336CEA5C" w14:textId="399972ED" w:rsidR="0046601E" w:rsidRPr="007A0C87" w:rsidRDefault="00391DBF" w:rsidP="00C44A09">
      <w:pPr>
        <w:rPr>
          <w:rFonts w:ascii="Arial" w:hAnsi="Arial" w:cs="Arial"/>
        </w:rPr>
      </w:pPr>
      <w:r w:rsidRPr="007A0C87">
        <w:rPr>
          <w:rFonts w:ascii="Arial" w:hAnsi="Arial" w:cs="Arial"/>
        </w:rPr>
        <w:t>Ammonium was analysed spectrophotometrically on a Gallery Plus Automated Photometric Analyser (Thermo Fisher Scientific, UK) using a salicylate-hypochlorite alkaline reaction method measured at 660 nm, and nitrate using a vanadium reaction method measured at 540 nm. The limits of detection</w:t>
      </w:r>
      <w:r w:rsidR="006F0937" w:rsidRPr="007A0C87">
        <w:rPr>
          <w:rFonts w:ascii="Arial" w:hAnsi="Arial" w:cs="Arial"/>
        </w:rPr>
        <w:t xml:space="preserve"> (LoDs)</w:t>
      </w:r>
      <w:r w:rsidRPr="007A0C87">
        <w:rPr>
          <w:rFonts w:ascii="Arial" w:hAnsi="Arial" w:cs="Arial"/>
        </w:rPr>
        <w:t xml:space="preserve"> were 0.005 mg L</w:t>
      </w:r>
      <w:r w:rsidRPr="007A0C87">
        <w:rPr>
          <w:rFonts w:ascii="Arial" w:hAnsi="Arial" w:cs="Arial"/>
          <w:vertAlign w:val="superscript"/>
        </w:rPr>
        <w:t>−1</w:t>
      </w:r>
      <w:r w:rsidRPr="007A0C87">
        <w:rPr>
          <w:rFonts w:ascii="Arial" w:hAnsi="Arial" w:cs="Arial"/>
        </w:rPr>
        <w:t> NH</w:t>
      </w:r>
      <w:r w:rsidRPr="007A0C87">
        <w:rPr>
          <w:rFonts w:ascii="Arial" w:hAnsi="Arial" w:cs="Arial"/>
          <w:vertAlign w:val="subscript"/>
        </w:rPr>
        <w:t>4</w:t>
      </w:r>
      <w:r w:rsidRPr="007A0C87">
        <w:rPr>
          <w:rFonts w:ascii="Arial" w:hAnsi="Arial" w:cs="Arial"/>
          <w:vertAlign w:val="superscript"/>
        </w:rPr>
        <w:t>+</w:t>
      </w:r>
      <w:r w:rsidRPr="007A0C87">
        <w:rPr>
          <w:rFonts w:ascii="Arial" w:hAnsi="Arial" w:cs="Arial"/>
        </w:rPr>
        <w:t>-N and 0.010 mg L</w:t>
      </w:r>
      <w:r w:rsidRPr="007A0C87">
        <w:rPr>
          <w:rFonts w:ascii="Arial" w:hAnsi="Arial" w:cs="Arial"/>
          <w:vertAlign w:val="superscript"/>
        </w:rPr>
        <w:t>−1</w:t>
      </w:r>
      <w:r w:rsidRPr="007A0C87">
        <w:rPr>
          <w:rFonts w:ascii="Arial" w:hAnsi="Arial" w:cs="Arial"/>
        </w:rPr>
        <w:t> NO</w:t>
      </w:r>
      <w:r w:rsidRPr="007A0C87">
        <w:rPr>
          <w:rFonts w:ascii="Arial" w:hAnsi="Arial" w:cs="Arial"/>
          <w:vertAlign w:val="subscript"/>
        </w:rPr>
        <w:t>3</w:t>
      </w:r>
      <w:r w:rsidRPr="007A0C87">
        <w:rPr>
          <w:rFonts w:ascii="Arial" w:hAnsi="Arial" w:cs="Arial"/>
          <w:vertAlign w:val="superscript"/>
        </w:rPr>
        <w:t>−</w:t>
      </w:r>
      <w:r w:rsidRPr="007A0C87">
        <w:rPr>
          <w:rFonts w:ascii="Arial" w:hAnsi="Arial" w:cs="Arial"/>
        </w:rPr>
        <w:t xml:space="preserve">-N, the samples were blank corrected, while the precision as a relative standard deviation (RSD) </w:t>
      </w:r>
      <w:bookmarkStart w:id="0" w:name="_Hlk174181319"/>
      <w:r w:rsidRPr="007A0C87">
        <w:rPr>
          <w:rFonts w:ascii="Arial" w:hAnsi="Arial" w:cs="Arial"/>
        </w:rPr>
        <w:t>was &lt;2%.</w:t>
      </w:r>
    </w:p>
    <w:p w14:paraId="6AE15F74" w14:textId="0C58F2E1" w:rsidR="007F1B59" w:rsidRPr="007A0C87" w:rsidRDefault="002F39E4" w:rsidP="002F39E4">
      <w:pPr>
        <w:jc w:val="both"/>
        <w:rPr>
          <w:rFonts w:ascii="Arial" w:hAnsi="Arial" w:cs="Arial"/>
        </w:rPr>
      </w:pPr>
      <w:r w:rsidRPr="007A0C87">
        <w:rPr>
          <w:rFonts w:ascii="Arial" w:hAnsi="Arial" w:cs="Arial"/>
        </w:rPr>
        <w:t xml:space="preserve">Soils </w:t>
      </w:r>
      <w:r w:rsidR="006F0937" w:rsidRPr="007A0C87">
        <w:rPr>
          <w:rFonts w:ascii="Arial" w:hAnsi="Arial" w:cs="Arial"/>
        </w:rPr>
        <w:t>were</w:t>
      </w:r>
      <w:r w:rsidR="000B3CF0" w:rsidRPr="007A0C87">
        <w:rPr>
          <w:rFonts w:ascii="Arial" w:hAnsi="Arial" w:cs="Arial"/>
        </w:rPr>
        <w:t xml:space="preserve"> </w:t>
      </w:r>
      <w:r w:rsidRPr="007A0C87">
        <w:rPr>
          <w:rFonts w:ascii="Arial" w:hAnsi="Arial" w:cs="Arial"/>
        </w:rPr>
        <w:t xml:space="preserve">dried and then pulverised with a pestle and mortar (&lt;1 mm) and </w:t>
      </w:r>
      <w:r w:rsidRPr="007A0C87">
        <w:rPr>
          <w:rFonts w:ascii="Cambria Math" w:hAnsi="Cambria Math" w:cs="Cambria Math"/>
        </w:rPr>
        <w:t>∼</w:t>
      </w:r>
      <w:r w:rsidRPr="007A0C87">
        <w:rPr>
          <w:rFonts w:ascii="Arial" w:hAnsi="Arial" w:cs="Arial"/>
        </w:rPr>
        <w:t>10 mg subsamples were weighed in triplicate into tin capsules and analysed for elemental C &amp; N contents as well as </w:t>
      </w:r>
      <w:r w:rsidRPr="007A0C87">
        <w:rPr>
          <w:rFonts w:ascii="Arial" w:hAnsi="Arial" w:cs="Arial"/>
          <w:i/>
          <w:iCs/>
        </w:rPr>
        <w:t>δ</w:t>
      </w:r>
      <w:r w:rsidRPr="007A0C87">
        <w:rPr>
          <w:rFonts w:ascii="Arial" w:hAnsi="Arial" w:cs="Arial"/>
          <w:vertAlign w:val="superscript"/>
        </w:rPr>
        <w:t>15</w:t>
      </w:r>
      <w:r w:rsidRPr="007A0C87">
        <w:rPr>
          <w:rFonts w:ascii="Arial" w:hAnsi="Arial" w:cs="Arial"/>
        </w:rPr>
        <w:t>N and </w:t>
      </w:r>
      <w:r w:rsidRPr="007A0C87">
        <w:rPr>
          <w:rFonts w:ascii="Arial" w:hAnsi="Arial" w:cs="Arial"/>
          <w:i/>
          <w:iCs/>
        </w:rPr>
        <w:t>δ</w:t>
      </w:r>
      <w:r w:rsidRPr="007A0C87">
        <w:rPr>
          <w:rFonts w:ascii="Arial" w:hAnsi="Arial" w:cs="Arial"/>
          <w:vertAlign w:val="superscript"/>
        </w:rPr>
        <w:t>13</w:t>
      </w:r>
      <w:r w:rsidRPr="007A0C87">
        <w:rPr>
          <w:rFonts w:ascii="Arial" w:hAnsi="Arial" w:cs="Arial"/>
        </w:rPr>
        <w:t>C stable isotopes via a continuous flow </w:t>
      </w:r>
      <w:hyperlink r:id="rId7" w:tooltip="Learn more about isotope ratio from ScienceDirect's AI-generated Topic Pages" w:history="1">
        <w:r w:rsidRPr="007A0C87">
          <w:rPr>
            <w:rStyle w:val="Hyperlink"/>
            <w:rFonts w:ascii="Arial" w:hAnsi="Arial" w:cs="Arial"/>
          </w:rPr>
          <w:t>isotope ratio</w:t>
        </w:r>
      </w:hyperlink>
      <w:r w:rsidRPr="007A0C87">
        <w:rPr>
          <w:rFonts w:ascii="Arial" w:hAnsi="Arial" w:cs="Arial"/>
        </w:rPr>
        <w:t> mass spectrometer (Elementar Isoprime Precision; Elementar Analysensysteme GmbH, Hanau, Germany) coupled with an elemental analyser (EA) inlet (vario PYRO cube; Elementar Analysensysteme GmbH, Hanau, Germany). The EA was calibrated with </w:t>
      </w:r>
      <w:hyperlink r:id="rId8" w:tooltip="Learn more about sulfanilamide from ScienceDirect's AI-generated Topic Pages" w:history="1">
        <w:r w:rsidRPr="007A0C87">
          <w:rPr>
            <w:rStyle w:val="Hyperlink"/>
            <w:rFonts w:ascii="Arial" w:hAnsi="Arial" w:cs="Arial"/>
          </w:rPr>
          <w:t>sulfanilamide</w:t>
        </w:r>
      </w:hyperlink>
      <w:r w:rsidRPr="007A0C87">
        <w:rPr>
          <w:rFonts w:ascii="Arial" w:hAnsi="Arial" w:cs="Arial"/>
        </w:rPr>
        <w:t xml:space="preserve"> (N: 16.26%, C:41.81%, S: 18.62%) and the precision as </w:t>
      </w:r>
      <w:r w:rsidR="006F0937" w:rsidRPr="007A0C87">
        <w:rPr>
          <w:rFonts w:ascii="Arial" w:hAnsi="Arial" w:cs="Arial"/>
        </w:rPr>
        <w:t>an</w:t>
      </w:r>
      <w:r w:rsidRPr="007A0C87">
        <w:rPr>
          <w:rFonts w:ascii="Arial" w:hAnsi="Arial" w:cs="Arial"/>
        </w:rPr>
        <w:t xml:space="preserve"> RSD was &lt;5% for both C and N. The IRMS was calibrated against international reference standards (caffeine: USGS61 (−2.87‰ </w:t>
      </w:r>
      <w:r w:rsidRPr="007A0C87">
        <w:rPr>
          <w:rFonts w:ascii="Arial" w:hAnsi="Arial" w:cs="Arial"/>
          <w:i/>
          <w:iCs/>
        </w:rPr>
        <w:t>δ</w:t>
      </w:r>
      <w:r w:rsidRPr="007A0C87">
        <w:rPr>
          <w:rFonts w:ascii="Arial" w:hAnsi="Arial" w:cs="Arial"/>
          <w:vertAlign w:val="superscript"/>
        </w:rPr>
        <w:t>15</w:t>
      </w:r>
      <w:r w:rsidRPr="007A0C87">
        <w:rPr>
          <w:rFonts w:ascii="Arial" w:hAnsi="Arial" w:cs="Arial"/>
        </w:rPr>
        <w:t>N, −35.05‰ </w:t>
      </w:r>
      <w:r w:rsidRPr="007A0C87">
        <w:rPr>
          <w:rFonts w:ascii="Arial" w:hAnsi="Arial" w:cs="Arial"/>
          <w:i/>
          <w:iCs/>
        </w:rPr>
        <w:t>δ</w:t>
      </w:r>
      <w:r w:rsidRPr="007A0C87">
        <w:rPr>
          <w:rFonts w:ascii="Arial" w:hAnsi="Arial" w:cs="Arial"/>
          <w:vertAlign w:val="superscript"/>
        </w:rPr>
        <w:t>13</w:t>
      </w:r>
      <w:r w:rsidRPr="007A0C87">
        <w:rPr>
          <w:rFonts w:ascii="Arial" w:hAnsi="Arial" w:cs="Arial"/>
        </w:rPr>
        <w:t>C VPDB), USGS62 (20.17‰ </w:t>
      </w:r>
      <w:r w:rsidRPr="007A0C87">
        <w:rPr>
          <w:rFonts w:ascii="Arial" w:hAnsi="Arial" w:cs="Arial"/>
          <w:i/>
          <w:iCs/>
        </w:rPr>
        <w:t>δ</w:t>
      </w:r>
      <w:r w:rsidRPr="007A0C87">
        <w:rPr>
          <w:rFonts w:ascii="Arial" w:hAnsi="Arial" w:cs="Arial"/>
          <w:vertAlign w:val="superscript"/>
        </w:rPr>
        <w:t>15</w:t>
      </w:r>
      <w:r w:rsidRPr="007A0C87">
        <w:rPr>
          <w:rFonts w:ascii="Arial" w:hAnsi="Arial" w:cs="Arial"/>
        </w:rPr>
        <w:t>N, −14.79‰ </w:t>
      </w:r>
      <w:r w:rsidRPr="007A0C87">
        <w:rPr>
          <w:rFonts w:ascii="Arial" w:hAnsi="Arial" w:cs="Arial"/>
          <w:i/>
          <w:iCs/>
        </w:rPr>
        <w:t>δ</w:t>
      </w:r>
      <w:r w:rsidRPr="007A0C87">
        <w:rPr>
          <w:rFonts w:ascii="Arial" w:hAnsi="Arial" w:cs="Arial"/>
          <w:vertAlign w:val="superscript"/>
        </w:rPr>
        <w:t>13</w:t>
      </w:r>
      <w:r w:rsidRPr="007A0C87">
        <w:rPr>
          <w:rFonts w:ascii="Arial" w:hAnsi="Arial" w:cs="Arial"/>
        </w:rPr>
        <w:t>C VPDB), USGS63 (37.83‰ </w:t>
      </w:r>
      <w:r w:rsidRPr="007A0C87">
        <w:rPr>
          <w:rFonts w:ascii="Arial" w:hAnsi="Arial" w:cs="Arial"/>
          <w:i/>
          <w:iCs/>
        </w:rPr>
        <w:t>δ</w:t>
      </w:r>
      <w:r w:rsidRPr="007A0C87">
        <w:rPr>
          <w:rFonts w:ascii="Arial" w:hAnsi="Arial" w:cs="Arial"/>
          <w:vertAlign w:val="superscript"/>
        </w:rPr>
        <w:t>15</w:t>
      </w:r>
      <w:r w:rsidRPr="007A0C87">
        <w:rPr>
          <w:rFonts w:ascii="Arial" w:hAnsi="Arial" w:cs="Arial"/>
        </w:rPr>
        <w:t>N −1.17‰ </w:t>
      </w:r>
      <w:r w:rsidRPr="007A0C87">
        <w:rPr>
          <w:rFonts w:ascii="Arial" w:hAnsi="Arial" w:cs="Arial"/>
          <w:i/>
          <w:iCs/>
        </w:rPr>
        <w:t>δ</w:t>
      </w:r>
      <w:r w:rsidRPr="007A0C87">
        <w:rPr>
          <w:rFonts w:ascii="Arial" w:hAnsi="Arial" w:cs="Arial"/>
          <w:vertAlign w:val="superscript"/>
        </w:rPr>
        <w:t>13</w:t>
      </w:r>
      <w:r w:rsidRPr="007A0C87">
        <w:rPr>
          <w:rFonts w:ascii="Arial" w:hAnsi="Arial" w:cs="Arial"/>
        </w:rPr>
        <w:t>C VPDB) and the precision as a standard deviation (SD) was &lt;0.06‰ for both </w:t>
      </w:r>
      <w:r w:rsidRPr="007A0C87">
        <w:rPr>
          <w:rFonts w:ascii="Arial" w:hAnsi="Arial" w:cs="Arial"/>
          <w:i/>
          <w:iCs/>
        </w:rPr>
        <w:t>δ</w:t>
      </w:r>
      <w:r w:rsidRPr="007A0C87">
        <w:rPr>
          <w:rFonts w:ascii="Arial" w:hAnsi="Arial" w:cs="Arial"/>
          <w:vertAlign w:val="superscript"/>
        </w:rPr>
        <w:t>15</w:t>
      </w:r>
      <w:r w:rsidRPr="007A0C87">
        <w:rPr>
          <w:rFonts w:ascii="Arial" w:hAnsi="Arial" w:cs="Arial"/>
        </w:rPr>
        <w:t>N and </w:t>
      </w:r>
      <w:r w:rsidRPr="007A0C87">
        <w:rPr>
          <w:rFonts w:ascii="Arial" w:hAnsi="Arial" w:cs="Arial"/>
          <w:i/>
          <w:iCs/>
        </w:rPr>
        <w:t>δ</w:t>
      </w:r>
      <w:r w:rsidRPr="007A0C87">
        <w:rPr>
          <w:rFonts w:ascii="Arial" w:hAnsi="Arial" w:cs="Arial"/>
          <w:vertAlign w:val="superscript"/>
        </w:rPr>
        <w:t>13</w:t>
      </w:r>
      <w:r w:rsidRPr="007A0C87">
        <w:rPr>
          <w:rFonts w:ascii="Arial" w:hAnsi="Arial" w:cs="Arial"/>
        </w:rPr>
        <w:t xml:space="preserve">C stable isotopes (Sgouridis et al. 2023). The EA-IRMS analysis enabled the quantification of gross N mineralization. </w:t>
      </w:r>
    </w:p>
    <w:p w14:paraId="6583B5C4" w14:textId="5B6A3E7D" w:rsidR="00CF1755" w:rsidRPr="007A0C87" w:rsidRDefault="00CF1755" w:rsidP="002F39E4">
      <w:pPr>
        <w:jc w:val="both"/>
        <w:rPr>
          <w:rFonts w:ascii="Arial" w:hAnsi="Arial" w:cs="Arial"/>
          <w:b/>
          <w:bCs/>
          <w:i/>
          <w:iCs/>
          <w:u w:val="single"/>
        </w:rPr>
      </w:pPr>
      <w:r w:rsidRPr="007A0C87">
        <w:rPr>
          <w:rFonts w:ascii="Arial" w:hAnsi="Arial" w:cs="Arial"/>
          <w:b/>
          <w:bCs/>
          <w:i/>
          <w:iCs/>
          <w:u w:val="single"/>
        </w:rPr>
        <w:t>Enzyme Analysis</w:t>
      </w:r>
    </w:p>
    <w:bookmarkEnd w:id="0"/>
    <w:p w14:paraId="5BDDA393" w14:textId="281BECC5" w:rsidR="00DF4D96" w:rsidRPr="007A0C87" w:rsidRDefault="00DF4D96" w:rsidP="002F39E4">
      <w:pPr>
        <w:jc w:val="both"/>
        <w:rPr>
          <w:rFonts w:ascii="Arial" w:hAnsi="Arial" w:cs="Arial"/>
        </w:rPr>
      </w:pPr>
      <w:r w:rsidRPr="007A0C87">
        <w:rPr>
          <w:rFonts w:ascii="Arial" w:hAnsi="Arial" w:cs="Arial"/>
        </w:rPr>
        <w:t>Composite samples (true replication n=3)</w:t>
      </w:r>
      <w:r w:rsidR="00834AFF" w:rsidRPr="007A0C87">
        <w:rPr>
          <w:rFonts w:ascii="Arial" w:hAnsi="Arial" w:cs="Arial"/>
        </w:rPr>
        <w:t xml:space="preserve"> arising </w:t>
      </w:r>
      <w:r w:rsidR="006F0937" w:rsidRPr="007A0C87">
        <w:rPr>
          <w:rFonts w:ascii="Arial" w:hAnsi="Arial" w:cs="Arial"/>
        </w:rPr>
        <w:t>from</w:t>
      </w:r>
      <w:r w:rsidR="00834AFF" w:rsidRPr="007A0C87">
        <w:rPr>
          <w:rFonts w:ascii="Arial" w:hAnsi="Arial" w:cs="Arial"/>
        </w:rPr>
        <w:t xml:space="preserve"> the decomposition experiment</w:t>
      </w:r>
      <w:r w:rsidRPr="007A0C87">
        <w:rPr>
          <w:rFonts w:ascii="Arial" w:hAnsi="Arial" w:cs="Arial"/>
        </w:rPr>
        <w:t xml:space="preserve"> for each array were additionally analysed for potential enzyme activities: β-glucosidase, Leucine aminopeptidase (LAP), </w:t>
      </w:r>
      <w:r w:rsidRPr="007A0C87">
        <w:rPr>
          <w:rFonts w:ascii="Arial" w:hAnsi="Arial" w:cs="Arial"/>
        </w:rPr>
        <w:sym w:font="Symbol" w:char="F062"/>
      </w:r>
      <w:r w:rsidRPr="007A0C87">
        <w:rPr>
          <w:rFonts w:ascii="Arial" w:hAnsi="Arial" w:cs="Arial"/>
        </w:rPr>
        <w:t>-N-acetyl-</w:t>
      </w:r>
      <w:r w:rsidR="006F0937" w:rsidRPr="007A0C87">
        <w:rPr>
          <w:rFonts w:ascii="Arial" w:hAnsi="Arial" w:cs="Arial"/>
          <w:color w:val="001D35"/>
          <w:sz w:val="27"/>
          <w:szCs w:val="27"/>
          <w:shd w:val="clear" w:color="auto" w:fill="FFFFFF"/>
        </w:rPr>
        <w:t xml:space="preserve"> </w:t>
      </w:r>
      <w:r w:rsidR="006F0937" w:rsidRPr="007A0C87">
        <w:rPr>
          <w:rFonts w:ascii="Arial" w:hAnsi="Arial" w:cs="Arial"/>
        </w:rPr>
        <w:t>glucosaminidase</w:t>
      </w:r>
      <w:r w:rsidRPr="007A0C87">
        <w:rPr>
          <w:rFonts w:ascii="Arial" w:hAnsi="Arial" w:cs="Arial"/>
        </w:rPr>
        <w:t xml:space="preserve"> (NAG) and acid phosphatase using standard published protocols</w:t>
      </w:r>
      <w:r w:rsidR="00F127E7" w:rsidRPr="007A0C87">
        <w:rPr>
          <w:rFonts w:ascii="Arial" w:hAnsi="Arial" w:cs="Arial"/>
        </w:rPr>
        <w:t xml:space="preserve"> (Rumeau et al. 2024)</w:t>
      </w:r>
      <w:r w:rsidR="00D400DF" w:rsidRPr="007A0C87">
        <w:rPr>
          <w:rFonts w:ascii="Arial" w:hAnsi="Arial" w:cs="Arial"/>
        </w:rPr>
        <w:t>. Briefly,</w:t>
      </w:r>
      <w:r w:rsidR="006F0937" w:rsidRPr="007A0C87">
        <w:rPr>
          <w:rFonts w:ascii="Arial" w:hAnsi="Arial" w:cs="Arial"/>
        </w:rPr>
        <w:t xml:space="preserve"> </w:t>
      </w:r>
      <w:hyperlink r:id="rId9" w:history="1">
        <w:r w:rsidR="006F0937" w:rsidRPr="007A0C87">
          <w:rPr>
            <w:rStyle w:val="Hyperlink"/>
            <w:rFonts w:ascii="Arial" w:hAnsi="Arial" w:cs="Arial"/>
          </w:rPr>
          <w:t>enzyme activities</w:t>
        </w:r>
        <w:r w:rsidR="00D400DF" w:rsidRPr="007A0C87">
          <w:rPr>
            <w:rStyle w:val="Hyperlink"/>
            <w:rFonts w:ascii="Arial" w:hAnsi="Arial" w:cs="Arial"/>
          </w:rPr>
          <w:t> </w:t>
        </w:r>
      </w:hyperlink>
      <w:r w:rsidR="00D400DF" w:rsidRPr="007A0C87">
        <w:rPr>
          <w:rFonts w:ascii="Arial" w:hAnsi="Arial" w:cs="Arial"/>
        </w:rPr>
        <w:t xml:space="preserve">were determined by fluorimetry. Soil suspensions were prepared by sonicating 2 g of soil in 125 ml of acetate buffer (pH 5.2). While stirring, 200 μl of soil suspension </w:t>
      </w:r>
      <w:r w:rsidR="006F0937" w:rsidRPr="007A0C87">
        <w:rPr>
          <w:rFonts w:ascii="Arial" w:hAnsi="Arial" w:cs="Arial"/>
        </w:rPr>
        <w:t>was</w:t>
      </w:r>
      <w:r w:rsidR="00D400DF" w:rsidRPr="007A0C87">
        <w:rPr>
          <w:rFonts w:ascii="Arial" w:hAnsi="Arial" w:cs="Arial"/>
        </w:rPr>
        <w:t xml:space="preserve"> added in duplicate to 50 μl of substrate solution of 200 μM, sterile black 96-well microplate. Quenched standard wells received 200 μl of soil suspension and 50 μl of either 4 methylumbelliferone or 7-amino-4-methyl </w:t>
      </w:r>
      <w:hyperlink r:id="rId10" w:tooltip="Learn more about coumarin from ScienceDirect's AI-generated Topic Pages" w:history="1">
        <w:r w:rsidR="00D400DF" w:rsidRPr="007A0C87">
          <w:rPr>
            <w:rStyle w:val="Hyperlink"/>
            <w:rFonts w:ascii="Arial" w:hAnsi="Arial" w:cs="Arial"/>
          </w:rPr>
          <w:t>coumarin</w:t>
        </w:r>
      </w:hyperlink>
      <w:r w:rsidR="00D400DF" w:rsidRPr="007A0C87">
        <w:rPr>
          <w:rFonts w:ascii="Arial" w:hAnsi="Arial" w:cs="Arial"/>
        </w:rPr>
        <w:t xml:space="preserve"> at concentrations ranging from 0.025 μM to 50 μM. Reference standard wells received 50 μl of standard (same as above) and 200 μl acetate buffer. Blank wells received 50 μl of acetate buffer and 200 μl of soil suspension and negative control wells received 50 μl of substrate and 200 μl of acetate buffer. Fluorescence was measured at 30 °C every 5 min for an hour with </w:t>
      </w:r>
      <w:r w:rsidR="006F0937" w:rsidRPr="007A0C87">
        <w:rPr>
          <w:rFonts w:ascii="Arial" w:hAnsi="Arial" w:cs="Arial"/>
        </w:rPr>
        <w:t xml:space="preserve">an </w:t>
      </w:r>
      <w:r w:rsidR="00D400DF" w:rsidRPr="007A0C87">
        <w:rPr>
          <w:rFonts w:ascii="Arial" w:hAnsi="Arial" w:cs="Arial"/>
        </w:rPr>
        <w:t>excitation wavelength of 365 nm and an emission wavelength of 450 nm. Fluorescence intensity after the first 10 min of pre-incubation was plotted over time. The slope of the linear regression and coefficient of determination were calculated. Each regression was visually assessed, and any outliers were removed to ensure a satisfactory coefficient of determination (R</w:t>
      </w:r>
      <w:r w:rsidR="00D400DF" w:rsidRPr="007A0C87">
        <w:rPr>
          <w:rFonts w:ascii="Arial" w:hAnsi="Arial" w:cs="Arial"/>
          <w:vertAlign w:val="superscript"/>
        </w:rPr>
        <w:t>2</w:t>
      </w:r>
      <w:r w:rsidR="00D400DF" w:rsidRPr="007A0C87">
        <w:rPr>
          <w:rFonts w:ascii="Arial" w:hAnsi="Arial" w:cs="Arial"/>
        </w:rPr>
        <w:t> &gt; 0.97). The slope was then used to determine the activity (further details in Rumeau et al. 2024).</w:t>
      </w:r>
    </w:p>
    <w:p w14:paraId="48668662" w14:textId="77777777" w:rsidR="00A06175" w:rsidRPr="007A0C87" w:rsidRDefault="00A06175">
      <w:pPr>
        <w:rPr>
          <w:rFonts w:ascii="Arial" w:hAnsi="Arial" w:cs="Arial"/>
          <w:b/>
          <w:bCs/>
          <w:i/>
          <w:iCs/>
          <w:u w:val="single"/>
        </w:rPr>
        <w:sectPr w:rsidR="00A06175" w:rsidRPr="007A0C87">
          <w:pgSz w:w="11906" w:h="16838"/>
          <w:pgMar w:top="1440" w:right="1440" w:bottom="1440" w:left="1440" w:header="708" w:footer="708" w:gutter="0"/>
          <w:cols w:space="708"/>
          <w:docGrid w:linePitch="360"/>
        </w:sectPr>
      </w:pPr>
    </w:p>
    <w:p w14:paraId="072DA6FA" w14:textId="2A6BBD23" w:rsidR="00CF1755" w:rsidRPr="007A0C87" w:rsidRDefault="00CF1755">
      <w:pPr>
        <w:rPr>
          <w:rFonts w:ascii="Arial" w:hAnsi="Arial" w:cs="Arial"/>
          <w:b/>
          <w:bCs/>
          <w:i/>
          <w:iCs/>
          <w:u w:val="single"/>
        </w:rPr>
      </w:pPr>
      <w:r w:rsidRPr="007A0C87">
        <w:rPr>
          <w:rFonts w:ascii="Arial" w:hAnsi="Arial" w:cs="Arial"/>
          <w:b/>
          <w:bCs/>
          <w:i/>
          <w:iCs/>
          <w:u w:val="single"/>
        </w:rPr>
        <w:lastRenderedPageBreak/>
        <w:t>AMF measurement</w:t>
      </w:r>
    </w:p>
    <w:p w14:paraId="1D34B1BE" w14:textId="4062A601" w:rsidR="00834AFF" w:rsidRPr="007A0C87" w:rsidRDefault="00834AFF" w:rsidP="00834AFF">
      <w:pPr>
        <w:rPr>
          <w:rFonts w:ascii="Arial" w:hAnsi="Arial" w:cs="Arial"/>
          <w:lang w:val="en-US"/>
        </w:rPr>
      </w:pPr>
      <w:r w:rsidRPr="007A0C87">
        <w:rPr>
          <w:rFonts w:ascii="Arial" w:hAnsi="Arial" w:cs="Arial"/>
          <w:lang w:val="en-US"/>
        </w:rPr>
        <w:t>For arbuscular mycorrhizae</w:t>
      </w:r>
      <w:r w:rsidR="00691E9B" w:rsidRPr="007A0C87">
        <w:rPr>
          <w:rFonts w:ascii="Arial" w:hAnsi="Arial" w:cs="Arial"/>
          <w:lang w:val="en-US"/>
        </w:rPr>
        <w:t xml:space="preserve"> (AMF)</w:t>
      </w:r>
      <w:r w:rsidRPr="007A0C87">
        <w:rPr>
          <w:rFonts w:ascii="Arial" w:hAnsi="Arial" w:cs="Arial"/>
          <w:lang w:val="en-US"/>
        </w:rPr>
        <w:t xml:space="preserve">, the NLFA 16:1ω5 was used, as this is more specific. This biomarker is associated with energy storage of the AM rather than biomass and is correlated with storage structures e.g. spores, </w:t>
      </w:r>
      <w:r w:rsidR="006F0937" w:rsidRPr="007A0C87">
        <w:rPr>
          <w:rFonts w:ascii="Arial" w:hAnsi="Arial" w:cs="Arial"/>
          <w:lang w:val="en-US"/>
        </w:rPr>
        <w:t xml:space="preserve">and </w:t>
      </w:r>
      <w:r w:rsidRPr="007A0C87">
        <w:rPr>
          <w:rFonts w:ascii="Arial" w:hAnsi="Arial" w:cs="Arial"/>
          <w:lang w:val="en-US"/>
        </w:rPr>
        <w:t>vesicles, rather than biomass, which the PLFA 16:1ω5 is linked to</w:t>
      </w:r>
      <w:r w:rsidR="00847E17" w:rsidRPr="007A0C87">
        <w:rPr>
          <w:rFonts w:ascii="Arial" w:hAnsi="Arial" w:cs="Arial"/>
          <w:lang w:val="en-US"/>
        </w:rPr>
        <w:t xml:space="preserve"> it</w:t>
      </w:r>
      <w:r w:rsidRPr="007A0C87">
        <w:rPr>
          <w:rFonts w:ascii="Arial" w:hAnsi="Arial" w:cs="Arial"/>
        </w:rPr>
        <w:t xml:space="preserve">. It was extracted from lyophilised sand (10 g) using Bligh-Dyer solution (10 ml, 4:5:10 </w:t>
      </w:r>
      <w:r w:rsidRPr="007A0C87">
        <w:rPr>
          <w:rFonts w:ascii="Arial" w:hAnsi="Arial" w:cs="Arial"/>
          <w:i/>
          <w:iCs/>
        </w:rPr>
        <w:t>v</w:t>
      </w:r>
      <w:r w:rsidRPr="007A0C87">
        <w:rPr>
          <w:rFonts w:ascii="Arial" w:hAnsi="Arial" w:cs="Arial"/>
        </w:rPr>
        <w:t>/</w:t>
      </w:r>
      <w:r w:rsidRPr="007A0C87">
        <w:rPr>
          <w:rFonts w:ascii="Arial" w:hAnsi="Arial" w:cs="Arial"/>
          <w:i/>
          <w:iCs/>
        </w:rPr>
        <w:t>v</w:t>
      </w:r>
      <w:r w:rsidRPr="007A0C87">
        <w:rPr>
          <w:rFonts w:ascii="Arial" w:hAnsi="Arial" w:cs="Arial"/>
        </w:rPr>
        <w:t>/</w:t>
      </w:r>
      <w:r w:rsidRPr="007A0C87">
        <w:rPr>
          <w:rFonts w:ascii="Arial" w:hAnsi="Arial" w:cs="Arial"/>
          <w:i/>
          <w:iCs/>
        </w:rPr>
        <w:t>v</w:t>
      </w:r>
      <w:r w:rsidRPr="007A0C87">
        <w:rPr>
          <w:rFonts w:ascii="Arial" w:hAnsi="Arial" w:cs="Arial"/>
        </w:rPr>
        <w:t xml:space="preserve"> 0.05 M KH</w:t>
      </w:r>
      <w:r w:rsidRPr="007A0C87">
        <w:rPr>
          <w:rFonts w:ascii="Arial" w:hAnsi="Arial" w:cs="Arial"/>
          <w:vertAlign w:val="subscript"/>
        </w:rPr>
        <w:t>2</w:t>
      </w:r>
      <w:r w:rsidRPr="007A0C87">
        <w:rPr>
          <w:rFonts w:ascii="Arial" w:hAnsi="Arial" w:cs="Arial"/>
        </w:rPr>
        <w:t>PO</w:t>
      </w:r>
      <w:r w:rsidRPr="007A0C87">
        <w:rPr>
          <w:rFonts w:ascii="Arial" w:hAnsi="Arial" w:cs="Arial"/>
          <w:vertAlign w:val="subscript"/>
        </w:rPr>
        <w:t>4</w:t>
      </w:r>
      <w:r w:rsidRPr="007A0C87">
        <w:rPr>
          <w:rFonts w:ascii="Arial" w:hAnsi="Arial" w:cs="Arial"/>
        </w:rPr>
        <w:t xml:space="preserve"> at pH 7.2 (buffered water), chloroform and methanol). This was sonicated (15 min), centrifuged (15 min, 3000 rpm), and supernatant transferred. This was repeated three times. Phase separation was achieved by addition of 2 ml </w:t>
      </w:r>
      <w:r w:rsidRPr="007A0C87">
        <w:rPr>
          <w:rFonts w:ascii="Arial" w:hAnsi="Arial" w:cs="Arial"/>
          <w:lang w:val="en-US"/>
        </w:rPr>
        <w:t>buffered water and 2 ml chloroform, and centrifuged (3000 rpm, 5 min). The organic phase was transferred and dried (40°C, gentle N</w:t>
      </w:r>
      <w:r w:rsidRPr="007A0C87">
        <w:rPr>
          <w:rFonts w:ascii="Arial" w:hAnsi="Arial" w:cs="Arial"/>
          <w:vertAlign w:val="subscript"/>
          <w:lang w:val="en-US"/>
        </w:rPr>
        <w:t>2</w:t>
      </w:r>
      <w:r w:rsidRPr="007A0C87">
        <w:rPr>
          <w:rFonts w:ascii="Arial" w:hAnsi="Arial" w:cs="Arial"/>
          <w:lang w:val="en-US"/>
        </w:rPr>
        <w:t xml:space="preserve"> flow) </w:t>
      </w:r>
      <w:r w:rsidRPr="007A0C87">
        <w:rPr>
          <w:rFonts w:ascii="Arial" w:hAnsi="Arial" w:cs="Arial"/>
        </w:rPr>
        <w:t xml:space="preserve">then resolubilized in 1 ml chloroform for lipid fractionation. Lipids were fractionated using activated silica (0.5 g, 60 Å mesh size), pre-conditioned with chloroform (4 ml). </w:t>
      </w:r>
      <w:r w:rsidRPr="007A0C87">
        <w:rPr>
          <w:rFonts w:ascii="Arial" w:hAnsi="Arial" w:cs="Arial"/>
          <w:lang w:val="en-US"/>
        </w:rPr>
        <w:t>Neutral lipids (NLFAs) were eluted using 5 ml chloroform, glycolipids were eluted using 10 ml acetone and the phospholipid fraction (PLFAs) were eluted with 5 ml methanol. The NLFA fractionation was taken forward for analysis, and 10 µl of 0.1 mg ml</w:t>
      </w:r>
      <w:r w:rsidRPr="007A0C87">
        <w:rPr>
          <w:rFonts w:ascii="Arial" w:hAnsi="Arial" w:cs="Arial"/>
          <w:vertAlign w:val="superscript"/>
          <w:lang w:val="en-US"/>
        </w:rPr>
        <w:t>−1</w:t>
      </w:r>
      <w:r w:rsidRPr="007A0C87">
        <w:rPr>
          <w:rFonts w:ascii="Arial" w:hAnsi="Arial" w:cs="Arial"/>
          <w:lang w:val="en-US"/>
        </w:rPr>
        <w:t xml:space="preserve"> nonadecane internal standard was added for </w:t>
      </w:r>
      <w:r w:rsidRPr="007A0C87">
        <w:rPr>
          <w:rFonts w:ascii="Arial" w:hAnsi="Arial" w:cs="Arial"/>
        </w:rPr>
        <w:t>quantification and dried under N</w:t>
      </w:r>
      <w:r w:rsidRPr="007A0C87">
        <w:rPr>
          <w:rFonts w:ascii="Arial" w:hAnsi="Arial" w:cs="Arial"/>
          <w:vertAlign w:val="subscript"/>
        </w:rPr>
        <w:t>2</w:t>
      </w:r>
      <w:r w:rsidRPr="007A0C87">
        <w:rPr>
          <w:rFonts w:ascii="Arial" w:hAnsi="Arial" w:cs="Arial"/>
        </w:rPr>
        <w:t>. Fatty acid methyl esters (FAMEs) were produced via acid-catalysed methylation, using 5 % (</w:t>
      </w:r>
      <w:r w:rsidRPr="007A0C87">
        <w:rPr>
          <w:rFonts w:ascii="Arial" w:hAnsi="Arial" w:cs="Arial"/>
          <w:i/>
          <w:iCs/>
        </w:rPr>
        <w:t>v</w:t>
      </w:r>
      <w:r w:rsidRPr="007A0C87">
        <w:rPr>
          <w:rFonts w:ascii="Arial" w:hAnsi="Arial" w:cs="Arial"/>
        </w:rPr>
        <w:t>/</w:t>
      </w:r>
      <w:r w:rsidRPr="007A0C87">
        <w:rPr>
          <w:rFonts w:ascii="Arial" w:hAnsi="Arial" w:cs="Arial"/>
          <w:i/>
          <w:iCs/>
        </w:rPr>
        <w:t>v</w:t>
      </w:r>
      <w:r w:rsidRPr="007A0C87">
        <w:rPr>
          <w:rFonts w:ascii="Arial" w:hAnsi="Arial" w:cs="Arial"/>
        </w:rPr>
        <w:t>) HCl in methanol (5 ml, 50°C for 2 h), and extracted into hexane (3 x 1 ml</w:t>
      </w:r>
      <w:r w:rsidRPr="007A0C87">
        <w:rPr>
          <w:rFonts w:ascii="Arial" w:hAnsi="Arial" w:cs="Arial"/>
          <w:lang w:val="en-US"/>
        </w:rPr>
        <w:t>) following addition of saturated NaCl (1 ml). The derivatized NLFA fraction was redissolved in hexane (50 µl) for GC and GC-MS analysis. The GC (</w:t>
      </w:r>
      <w:r w:rsidRPr="007A0C87">
        <w:rPr>
          <w:rFonts w:ascii="Arial" w:hAnsi="Arial" w:cs="Arial"/>
        </w:rPr>
        <w:t>Thermo Fisher Scientific™ Trace™ 1300 Gas Chromatograph</w:t>
      </w:r>
      <w:r w:rsidRPr="007A0C87">
        <w:rPr>
          <w:rFonts w:ascii="Arial" w:hAnsi="Arial" w:cs="Arial"/>
          <w:lang w:val="en-US"/>
        </w:rPr>
        <w:t>) was fitted with a VF23-ms column (60 m, 0.32 µm i.d., 0.15 µm film thickness), and the temperature programme was: 50°C (1 min) to 100°C (10°C min</w:t>
      </w:r>
      <w:r w:rsidRPr="007A0C87">
        <w:rPr>
          <w:rFonts w:ascii="Arial" w:hAnsi="Arial" w:cs="Arial"/>
          <w:vertAlign w:val="superscript"/>
          <w:lang w:val="en-US"/>
        </w:rPr>
        <w:t>−1</w:t>
      </w:r>
      <w:r w:rsidRPr="007A0C87">
        <w:rPr>
          <w:rFonts w:ascii="Arial" w:hAnsi="Arial" w:cs="Arial"/>
          <w:lang w:val="en-US"/>
        </w:rPr>
        <w:t>) to 250°C (4°C min</w:t>
      </w:r>
      <w:r w:rsidRPr="007A0C87">
        <w:rPr>
          <w:rFonts w:ascii="Arial" w:hAnsi="Arial" w:cs="Arial"/>
          <w:vertAlign w:val="superscript"/>
          <w:lang w:val="en-US"/>
        </w:rPr>
        <w:t>−1</w:t>
      </w:r>
      <w:r w:rsidRPr="007A0C87">
        <w:rPr>
          <w:rFonts w:ascii="Arial" w:hAnsi="Arial" w:cs="Arial"/>
          <w:lang w:val="en-US"/>
        </w:rPr>
        <w:t>, 15 min hold), with a helium carrier gas flow of 2.0 ml min</w:t>
      </w:r>
      <w:r w:rsidRPr="007A0C87">
        <w:rPr>
          <w:rFonts w:ascii="Arial" w:hAnsi="Arial" w:cs="Arial"/>
          <w:vertAlign w:val="superscript"/>
          <w:lang w:val="en-US"/>
        </w:rPr>
        <w:t>−1</w:t>
      </w:r>
      <w:r w:rsidRPr="007A0C87">
        <w:rPr>
          <w:rFonts w:ascii="Arial" w:hAnsi="Arial" w:cs="Arial"/>
          <w:lang w:val="en-US"/>
        </w:rPr>
        <w:t xml:space="preserve">. </w:t>
      </w:r>
      <w:r w:rsidRPr="007A0C87">
        <w:rPr>
          <w:rFonts w:ascii="Arial" w:hAnsi="Arial" w:cs="Arial"/>
        </w:rPr>
        <w:t>Data analysis was performed in Chromeleon® 7 (Version 7.2.1.5833; Thermo Scientific™). The GC-MS (Thermo Fisher Scientific™ ISQ™ LT) was operated under the same conditions as the GC. The MS operated under electron impact ionisation (70 eV) under a full scan range (</w:t>
      </w:r>
      <w:r w:rsidRPr="007A0C87">
        <w:rPr>
          <w:rFonts w:ascii="Arial" w:hAnsi="Arial" w:cs="Arial"/>
          <w:i/>
          <w:iCs/>
        </w:rPr>
        <w:t>m</w:t>
      </w:r>
      <w:r w:rsidRPr="007A0C87">
        <w:rPr>
          <w:rFonts w:ascii="Arial" w:hAnsi="Arial" w:cs="Arial"/>
        </w:rPr>
        <w:t>/</w:t>
      </w:r>
      <w:r w:rsidRPr="007A0C87">
        <w:rPr>
          <w:rFonts w:ascii="Arial" w:hAnsi="Arial" w:cs="Arial"/>
          <w:i/>
          <w:iCs/>
        </w:rPr>
        <w:t>z</w:t>
      </w:r>
      <w:r w:rsidRPr="007A0C87">
        <w:rPr>
          <w:rFonts w:ascii="Arial" w:hAnsi="Arial" w:cs="Arial"/>
        </w:rPr>
        <w:t xml:space="preserve"> 50 – 650) at a scan time of 0.2 seconds. Data acquisition and analysis used Xcalibur Version 4.1.31.9 (Thermo Fisher Scientific™ Ltd). GC was used for quantification, relative to the internal standard, and </w:t>
      </w:r>
      <w:r w:rsidRPr="007A0C87">
        <w:rPr>
          <w:rFonts w:ascii="Arial" w:hAnsi="Arial" w:cs="Arial"/>
          <w:lang w:val="en-US"/>
        </w:rPr>
        <w:t xml:space="preserve">GC-MS was used to confirm the identification of the C16:1ω5 used for AMF. </w:t>
      </w:r>
    </w:p>
    <w:p w14:paraId="5CA4D0E2" w14:textId="3BF36162" w:rsidR="00CF1755" w:rsidRPr="007A0C87" w:rsidRDefault="00CF1755" w:rsidP="00834AFF">
      <w:pPr>
        <w:rPr>
          <w:rFonts w:ascii="Arial" w:hAnsi="Arial" w:cs="Arial"/>
          <w:b/>
          <w:bCs/>
          <w:i/>
          <w:iCs/>
          <w:u w:val="single"/>
        </w:rPr>
      </w:pPr>
      <w:r w:rsidRPr="007A0C87">
        <w:rPr>
          <w:rFonts w:ascii="Arial" w:hAnsi="Arial" w:cs="Arial"/>
          <w:b/>
          <w:bCs/>
          <w:i/>
          <w:iCs/>
          <w:u w:val="single"/>
          <w:lang w:val="en-US"/>
        </w:rPr>
        <w:t xml:space="preserve">ECM </w:t>
      </w:r>
      <w:r w:rsidR="00B51A4D" w:rsidRPr="007A0C87">
        <w:rPr>
          <w:rFonts w:ascii="Arial" w:hAnsi="Arial" w:cs="Arial"/>
          <w:b/>
          <w:bCs/>
          <w:i/>
          <w:iCs/>
          <w:u w:val="single"/>
          <w:lang w:val="en-US"/>
        </w:rPr>
        <w:t>measurement</w:t>
      </w:r>
    </w:p>
    <w:p w14:paraId="0054F524" w14:textId="62C25C9D" w:rsidR="00BB3E3F" w:rsidRPr="007A0C87" w:rsidRDefault="00691E9B">
      <w:pPr>
        <w:rPr>
          <w:rFonts w:ascii="Arial" w:hAnsi="Arial" w:cs="Arial"/>
          <w:lang w:val="en-US"/>
        </w:rPr>
      </w:pPr>
      <w:r w:rsidRPr="007A0C87">
        <w:rPr>
          <w:rFonts w:ascii="Arial" w:hAnsi="Arial" w:cs="Arial"/>
          <w:lang w:val="en-US"/>
        </w:rPr>
        <w:t xml:space="preserve">Ergosterol from </w:t>
      </w:r>
      <w:r w:rsidR="00B51A4D" w:rsidRPr="007A0C87">
        <w:rPr>
          <w:rFonts w:ascii="Arial" w:hAnsi="Arial" w:cs="Arial"/>
          <w:lang w:val="en-US"/>
        </w:rPr>
        <w:t>Ectomycorrhiza</w:t>
      </w:r>
      <w:r w:rsidRPr="007A0C87">
        <w:rPr>
          <w:rFonts w:ascii="Arial" w:hAnsi="Arial" w:cs="Arial"/>
          <w:lang w:val="en-US"/>
        </w:rPr>
        <w:t xml:space="preserve"> (ECM) was extracted using </w:t>
      </w:r>
      <w:r w:rsidR="00B51A4D" w:rsidRPr="007A0C87">
        <w:rPr>
          <w:rFonts w:ascii="Arial" w:hAnsi="Arial" w:cs="Arial"/>
          <w:lang w:val="en-US"/>
        </w:rPr>
        <w:t xml:space="preserve">the </w:t>
      </w:r>
      <w:r w:rsidRPr="007A0C87">
        <w:rPr>
          <w:rFonts w:ascii="Arial" w:hAnsi="Arial" w:cs="Arial"/>
          <w:lang w:val="en-US"/>
        </w:rPr>
        <w:t>standard protocol. Sand (5 g) was extracted with 10% KOH (4 ml) and cyclohexane (1 ml), sonicated for 15 min and then shanked for 45 min (200 strokes min</w:t>
      </w:r>
      <w:r w:rsidRPr="007A0C87">
        <w:rPr>
          <w:rFonts w:ascii="Arial" w:hAnsi="Arial" w:cs="Arial"/>
          <w:vertAlign w:val="superscript"/>
          <w:lang w:val="en-US"/>
        </w:rPr>
        <w:t>−1</w:t>
      </w:r>
      <w:r w:rsidRPr="007A0C87">
        <w:rPr>
          <w:rFonts w:ascii="Arial" w:hAnsi="Arial" w:cs="Arial"/>
          <w:lang w:val="en-US"/>
        </w:rPr>
        <w:t xml:space="preserve">). This was then heated in a water bath at 70 °C for 90 min. Phase separation was exerted by </w:t>
      </w:r>
      <w:r w:rsidR="00B51A4D" w:rsidRPr="007A0C87">
        <w:rPr>
          <w:rFonts w:ascii="Arial" w:hAnsi="Arial" w:cs="Arial"/>
          <w:lang w:val="en-US"/>
        </w:rPr>
        <w:t xml:space="preserve">the </w:t>
      </w:r>
      <w:r w:rsidRPr="007A0C87">
        <w:rPr>
          <w:rFonts w:ascii="Arial" w:hAnsi="Arial" w:cs="Arial"/>
          <w:lang w:val="en-US"/>
        </w:rPr>
        <w:t>addition of e-pure water (1 ml) and cyclohexane (2 ml), followed by centrifugation (5 min, 4000 rpm). The cyclohexane phase was transferred, and this</w:t>
      </w:r>
      <w:r w:rsidR="00B51A4D" w:rsidRPr="007A0C87">
        <w:rPr>
          <w:rFonts w:ascii="Arial" w:hAnsi="Arial" w:cs="Arial"/>
          <w:lang w:val="en-US"/>
        </w:rPr>
        <w:t xml:space="preserve"> stage was</w:t>
      </w:r>
      <w:r w:rsidRPr="007A0C87">
        <w:rPr>
          <w:rFonts w:ascii="Arial" w:hAnsi="Arial" w:cs="Arial"/>
          <w:lang w:val="en-US"/>
        </w:rPr>
        <w:t xml:space="preserve"> repeated with a second aliquot of cyclohexane (2 ml), and the extract combined. The solvent was removed under a gentle flow of N</w:t>
      </w:r>
      <w:r w:rsidRPr="007A0C87">
        <w:rPr>
          <w:rFonts w:ascii="Arial" w:hAnsi="Arial" w:cs="Arial"/>
          <w:vertAlign w:val="subscript"/>
          <w:lang w:val="en-US"/>
        </w:rPr>
        <w:t>2</w:t>
      </w:r>
      <w:r w:rsidRPr="007A0C87">
        <w:rPr>
          <w:rFonts w:ascii="Arial" w:hAnsi="Arial" w:cs="Arial"/>
          <w:lang w:val="en-US"/>
        </w:rPr>
        <w:t xml:space="preserve"> at 40°C. The dried extract was redissolved </w:t>
      </w:r>
      <w:r w:rsidRPr="007A0C87">
        <w:rPr>
          <w:rFonts w:ascii="Arial" w:hAnsi="Arial" w:cs="Arial"/>
        </w:rPr>
        <w:t>in methanol (400 μl) and filtered (0.45 μm Teflon syringe filters). The extract was subsequently analysed for ergosterol using HPLC, fitted with a C</w:t>
      </w:r>
      <w:r w:rsidRPr="007A0C87">
        <w:rPr>
          <w:rFonts w:ascii="Arial" w:hAnsi="Arial" w:cs="Arial"/>
          <w:vertAlign w:val="subscript"/>
        </w:rPr>
        <w:t>18</w:t>
      </w:r>
      <w:r w:rsidRPr="007A0C87">
        <w:rPr>
          <w:rFonts w:ascii="Arial" w:hAnsi="Arial" w:cs="Arial"/>
        </w:rPr>
        <w:t xml:space="preserve"> reverse phase column (150 mm x 4.6 mm, 5 μm i.d.), preceded</w:t>
      </w:r>
      <w:r w:rsidRPr="007A0C87">
        <w:rPr>
          <w:rFonts w:ascii="Arial" w:hAnsi="Arial" w:cs="Arial"/>
          <w:lang w:val="en-US"/>
        </w:rPr>
        <w:t xml:space="preserve"> by a C</w:t>
      </w:r>
      <w:r w:rsidRPr="007A0C87">
        <w:rPr>
          <w:rFonts w:ascii="Arial" w:hAnsi="Arial" w:cs="Arial"/>
          <w:vertAlign w:val="subscript"/>
          <w:lang w:val="en-US"/>
        </w:rPr>
        <w:t>18</w:t>
      </w:r>
      <w:r w:rsidRPr="007A0C87">
        <w:rPr>
          <w:rFonts w:ascii="Arial" w:hAnsi="Arial" w:cs="Arial"/>
          <w:lang w:val="en-US"/>
        </w:rPr>
        <w:t xml:space="preserve"> guard column. The solvent program was 100% MeOH at 1.0 ml min</w:t>
      </w:r>
      <w:r w:rsidRPr="007A0C87">
        <w:rPr>
          <w:rFonts w:ascii="Arial" w:hAnsi="Arial" w:cs="Arial"/>
          <w:vertAlign w:val="superscript"/>
          <w:lang w:val="en-US"/>
        </w:rPr>
        <w:t>−1</w:t>
      </w:r>
      <w:r w:rsidRPr="007A0C87">
        <w:rPr>
          <w:rFonts w:ascii="Arial" w:hAnsi="Arial" w:cs="Arial"/>
          <w:lang w:val="en-US"/>
        </w:rPr>
        <w:t xml:space="preserve">, and ergosterol was detected at 282 nm using a UV detector. Quantification was achieved by external calibration using an ergosterol standard, and ergosterol </w:t>
      </w:r>
      <w:r w:rsidR="00B51A4D" w:rsidRPr="007A0C87">
        <w:rPr>
          <w:rFonts w:ascii="Arial" w:hAnsi="Arial" w:cs="Arial"/>
          <w:lang w:val="en-US"/>
        </w:rPr>
        <w:t xml:space="preserve">was </w:t>
      </w:r>
      <w:r w:rsidRPr="007A0C87">
        <w:rPr>
          <w:rFonts w:ascii="Arial" w:hAnsi="Arial" w:cs="Arial"/>
          <w:lang w:val="en-US"/>
        </w:rPr>
        <w:t>converted to fungal biomass using 3.3 µg ergosterol mg</w:t>
      </w:r>
      <w:r w:rsidRPr="007A0C87">
        <w:rPr>
          <w:rFonts w:ascii="Arial" w:hAnsi="Arial" w:cs="Arial"/>
          <w:vertAlign w:val="superscript"/>
          <w:lang w:val="en-US"/>
        </w:rPr>
        <w:t>−1</w:t>
      </w:r>
      <w:r w:rsidRPr="007A0C87">
        <w:rPr>
          <w:rFonts w:ascii="Arial" w:hAnsi="Arial" w:cs="Arial"/>
          <w:vertAlign w:val="subscript"/>
          <w:lang w:val="en-US"/>
        </w:rPr>
        <w:t xml:space="preserve"> </w:t>
      </w:r>
      <w:r w:rsidRPr="007A0C87">
        <w:rPr>
          <w:rFonts w:ascii="Arial" w:hAnsi="Arial" w:cs="Arial"/>
          <w:lang w:val="en-US"/>
        </w:rPr>
        <w:t>fungal biomass.</w:t>
      </w:r>
    </w:p>
    <w:p w14:paraId="367D690A" w14:textId="5D58FF56" w:rsidR="00CF1755" w:rsidRPr="007A0C87" w:rsidRDefault="00CF1755">
      <w:pPr>
        <w:rPr>
          <w:rFonts w:ascii="Arial" w:hAnsi="Arial" w:cs="Arial"/>
          <w:b/>
          <w:bCs/>
          <w:i/>
          <w:iCs/>
          <w:u w:val="single"/>
        </w:rPr>
      </w:pPr>
      <w:r w:rsidRPr="007A0C87">
        <w:rPr>
          <w:rFonts w:ascii="Arial" w:hAnsi="Arial" w:cs="Arial"/>
          <w:b/>
          <w:bCs/>
          <w:i/>
          <w:iCs/>
          <w:u w:val="single"/>
          <w:lang w:val="en-US"/>
        </w:rPr>
        <w:t>Root exudate analysis</w:t>
      </w:r>
    </w:p>
    <w:p w14:paraId="48537B1C" w14:textId="4334C05A" w:rsidR="000B3CF0" w:rsidRPr="007A0C87" w:rsidRDefault="000B3CF0" w:rsidP="000B3CF0">
      <w:pPr>
        <w:rPr>
          <w:rFonts w:ascii="Arial" w:hAnsi="Arial" w:cs="Arial"/>
        </w:rPr>
      </w:pPr>
      <w:r w:rsidRPr="007A0C87">
        <w:rPr>
          <w:rFonts w:ascii="Arial" w:hAnsi="Arial" w:cs="Arial"/>
        </w:rPr>
        <w:t>The</w:t>
      </w:r>
      <w:r w:rsidR="00EF4B02" w:rsidRPr="007A0C87">
        <w:rPr>
          <w:rFonts w:ascii="Arial" w:hAnsi="Arial" w:cs="Arial"/>
        </w:rPr>
        <w:t xml:space="preserve"> root</w:t>
      </w:r>
      <w:r w:rsidRPr="007A0C87">
        <w:rPr>
          <w:rFonts w:ascii="Arial" w:hAnsi="Arial" w:cs="Arial"/>
        </w:rPr>
        <w:t xml:space="preserve"> exudate collection procedure was adapted from Phillips </w:t>
      </w:r>
      <w:r w:rsidR="00EF4B02" w:rsidRPr="007A0C87">
        <w:rPr>
          <w:rFonts w:ascii="Arial" w:hAnsi="Arial" w:cs="Arial"/>
        </w:rPr>
        <w:t>methods</w:t>
      </w:r>
      <w:r w:rsidRPr="007A0C87">
        <w:rPr>
          <w:rFonts w:ascii="Arial" w:hAnsi="Arial" w:cs="Arial"/>
        </w:rPr>
        <w:t xml:space="preserve"> to allow </w:t>
      </w:r>
      <w:r w:rsidR="00B51A4D" w:rsidRPr="007A0C87">
        <w:rPr>
          <w:rFonts w:ascii="Arial" w:hAnsi="Arial" w:cs="Arial"/>
        </w:rPr>
        <w:t xml:space="preserve">the </w:t>
      </w:r>
      <w:r w:rsidRPr="007A0C87">
        <w:rPr>
          <w:rFonts w:ascii="Arial" w:hAnsi="Arial" w:cs="Arial"/>
        </w:rPr>
        <w:t xml:space="preserve">collection of root exudates from intact root systems. The fine root systems (approx. 10 cm </w:t>
      </w:r>
      <w:r w:rsidR="00B51A4D" w:rsidRPr="007A0C87">
        <w:rPr>
          <w:rFonts w:ascii="Arial" w:hAnsi="Arial" w:cs="Arial"/>
        </w:rPr>
        <w:t xml:space="preserve">in </w:t>
      </w:r>
      <w:r w:rsidRPr="007A0C87">
        <w:rPr>
          <w:rFonts w:ascii="Arial" w:hAnsi="Arial" w:cs="Arial"/>
        </w:rPr>
        <w:t xml:space="preserve">length) were carefully excavated from the window face in the root box (or the O horizon in </w:t>
      </w:r>
      <w:r w:rsidRPr="007A0C87">
        <w:rPr>
          <w:rFonts w:ascii="Arial" w:hAnsi="Arial" w:cs="Arial"/>
        </w:rPr>
        <w:lastRenderedPageBreak/>
        <w:t xml:space="preserve">August 2020) and were within 5 cm of the window. Once excavated, the root system, with a diameter &lt; 2 mm, </w:t>
      </w:r>
      <w:r w:rsidR="00B51A4D" w:rsidRPr="007A0C87">
        <w:rPr>
          <w:rFonts w:ascii="Arial" w:hAnsi="Arial" w:cs="Arial"/>
        </w:rPr>
        <w:t>was</w:t>
      </w:r>
      <w:r w:rsidRPr="007A0C87">
        <w:rPr>
          <w:rFonts w:ascii="Arial" w:hAnsi="Arial" w:cs="Arial"/>
        </w:rPr>
        <w:t xml:space="preserve"> washed with a carbon-free nutrient solution (NH</w:t>
      </w:r>
      <w:r w:rsidRPr="007A0C87">
        <w:rPr>
          <w:rFonts w:ascii="Arial" w:hAnsi="Arial" w:cs="Arial"/>
          <w:vertAlign w:val="subscript"/>
        </w:rPr>
        <w:t>4</w:t>
      </w:r>
      <w:r w:rsidRPr="007A0C87">
        <w:rPr>
          <w:rFonts w:ascii="Arial" w:hAnsi="Arial" w:cs="Arial"/>
        </w:rPr>
        <w:t>NO</w:t>
      </w:r>
      <w:r w:rsidRPr="007A0C87">
        <w:rPr>
          <w:rFonts w:ascii="Arial" w:hAnsi="Arial" w:cs="Arial"/>
          <w:vertAlign w:val="subscript"/>
        </w:rPr>
        <w:t>3</w:t>
      </w:r>
      <w:r w:rsidRPr="007A0C87">
        <w:rPr>
          <w:rFonts w:ascii="Arial" w:hAnsi="Arial" w:cs="Arial"/>
        </w:rPr>
        <w:t xml:space="preserve"> 40 mg l</w:t>
      </w:r>
      <w:r w:rsidRPr="007A0C87">
        <w:rPr>
          <w:rFonts w:ascii="Arial" w:hAnsi="Arial" w:cs="Arial"/>
          <w:vertAlign w:val="superscript"/>
        </w:rPr>
        <w:t>−1</w:t>
      </w:r>
      <w:r w:rsidRPr="007A0C87">
        <w:rPr>
          <w:rFonts w:ascii="Arial" w:hAnsi="Arial" w:cs="Arial"/>
        </w:rPr>
        <w:t>; KH</w:t>
      </w:r>
      <w:r w:rsidRPr="007A0C87">
        <w:rPr>
          <w:rFonts w:ascii="Arial" w:hAnsi="Arial" w:cs="Arial"/>
          <w:vertAlign w:val="subscript"/>
        </w:rPr>
        <w:t>2</w:t>
      </w:r>
      <w:r w:rsidRPr="007A0C87">
        <w:rPr>
          <w:rFonts w:ascii="Arial" w:hAnsi="Arial" w:cs="Arial"/>
        </w:rPr>
        <w:t>PO</w:t>
      </w:r>
      <w:r w:rsidRPr="007A0C87">
        <w:rPr>
          <w:rFonts w:ascii="Arial" w:hAnsi="Arial" w:cs="Arial"/>
          <w:vertAlign w:val="subscript"/>
        </w:rPr>
        <w:t>4</w:t>
      </w:r>
      <w:r w:rsidRPr="007A0C87">
        <w:rPr>
          <w:rFonts w:ascii="Arial" w:hAnsi="Arial" w:cs="Arial"/>
        </w:rPr>
        <w:t xml:space="preserve"> 13.6 mg l</w:t>
      </w:r>
      <w:r w:rsidRPr="007A0C87">
        <w:rPr>
          <w:rFonts w:ascii="Arial" w:hAnsi="Arial" w:cs="Arial"/>
          <w:vertAlign w:val="superscript"/>
        </w:rPr>
        <w:t>−1</w:t>
      </w:r>
      <w:r w:rsidRPr="007A0C87">
        <w:rPr>
          <w:rFonts w:ascii="Arial" w:hAnsi="Arial" w:cs="Arial"/>
        </w:rPr>
        <w:t>; K</w:t>
      </w:r>
      <w:r w:rsidRPr="007A0C87">
        <w:rPr>
          <w:rFonts w:ascii="Arial" w:hAnsi="Arial" w:cs="Arial"/>
          <w:vertAlign w:val="subscript"/>
        </w:rPr>
        <w:t>2</w:t>
      </w:r>
      <w:r w:rsidRPr="007A0C87">
        <w:rPr>
          <w:rFonts w:ascii="Arial" w:hAnsi="Arial" w:cs="Arial"/>
        </w:rPr>
        <w:t>SO</w:t>
      </w:r>
      <w:r w:rsidRPr="007A0C87">
        <w:rPr>
          <w:rFonts w:ascii="Arial" w:hAnsi="Arial" w:cs="Arial"/>
          <w:vertAlign w:val="subscript"/>
        </w:rPr>
        <w:t>4</w:t>
      </w:r>
      <w:r w:rsidRPr="007A0C87">
        <w:rPr>
          <w:rFonts w:ascii="Arial" w:hAnsi="Arial" w:cs="Arial"/>
        </w:rPr>
        <w:t xml:space="preserve"> 349 mg l</w:t>
      </w:r>
      <w:r w:rsidRPr="007A0C87">
        <w:rPr>
          <w:rFonts w:ascii="Arial" w:hAnsi="Arial" w:cs="Arial"/>
          <w:vertAlign w:val="superscript"/>
        </w:rPr>
        <w:t>−1</w:t>
      </w:r>
      <w:r w:rsidRPr="007A0C87">
        <w:rPr>
          <w:rFonts w:ascii="Arial" w:hAnsi="Arial" w:cs="Arial"/>
        </w:rPr>
        <w:t>; CaCl</w:t>
      </w:r>
      <w:r w:rsidRPr="007A0C87">
        <w:rPr>
          <w:rFonts w:ascii="Arial" w:hAnsi="Arial" w:cs="Arial"/>
          <w:vertAlign w:val="subscript"/>
        </w:rPr>
        <w:t>2</w:t>
      </w:r>
      <w:r w:rsidRPr="007A0C87">
        <w:rPr>
          <w:rFonts w:ascii="Arial" w:hAnsi="Arial" w:cs="Arial"/>
        </w:rPr>
        <w:t xml:space="preserve"> 441 mg l</w:t>
      </w:r>
      <w:r w:rsidRPr="007A0C87">
        <w:rPr>
          <w:rFonts w:ascii="Arial" w:hAnsi="Arial" w:cs="Arial"/>
          <w:vertAlign w:val="superscript"/>
        </w:rPr>
        <w:t>−1</w:t>
      </w:r>
      <w:r w:rsidRPr="007A0C87">
        <w:rPr>
          <w:rFonts w:ascii="Arial" w:hAnsi="Arial" w:cs="Arial"/>
        </w:rPr>
        <w:t xml:space="preserve"> and MgSO</w:t>
      </w:r>
      <w:r w:rsidRPr="007A0C87">
        <w:rPr>
          <w:rFonts w:ascii="Arial" w:hAnsi="Arial" w:cs="Arial"/>
          <w:vertAlign w:val="subscript"/>
        </w:rPr>
        <w:t>4</w:t>
      </w:r>
      <w:r w:rsidRPr="007A0C87">
        <w:rPr>
          <w:rFonts w:ascii="Arial" w:hAnsi="Arial" w:cs="Arial"/>
        </w:rPr>
        <w:t>.7H</w:t>
      </w:r>
      <w:r w:rsidRPr="007A0C87">
        <w:rPr>
          <w:rFonts w:ascii="Arial" w:hAnsi="Arial" w:cs="Arial"/>
          <w:vertAlign w:val="subscript"/>
        </w:rPr>
        <w:t>2</w:t>
      </w:r>
      <w:r w:rsidRPr="007A0C87">
        <w:rPr>
          <w:rFonts w:ascii="Arial" w:hAnsi="Arial" w:cs="Arial"/>
        </w:rPr>
        <w:t>O 0.3705 g l</w:t>
      </w:r>
      <w:r w:rsidRPr="007A0C87">
        <w:rPr>
          <w:rFonts w:ascii="Arial" w:hAnsi="Arial" w:cs="Arial"/>
          <w:vertAlign w:val="superscript"/>
        </w:rPr>
        <w:t>−1</w:t>
      </w:r>
      <w:r w:rsidRPr="007A0C87">
        <w:rPr>
          <w:rFonts w:ascii="Arial" w:hAnsi="Arial" w:cs="Arial"/>
        </w:rPr>
        <w:t>). Additionally, tweezers were used to gently remove</w:t>
      </w:r>
      <w:r w:rsidR="00B51A4D" w:rsidRPr="007A0C87">
        <w:rPr>
          <w:rFonts w:ascii="Arial" w:hAnsi="Arial" w:cs="Arial"/>
        </w:rPr>
        <w:t xml:space="preserve"> any</w:t>
      </w:r>
      <w:r w:rsidRPr="007A0C87">
        <w:rPr>
          <w:rFonts w:ascii="Arial" w:hAnsi="Arial" w:cs="Arial"/>
        </w:rPr>
        <w:t xml:space="preserve"> adhered soil from the roots. After washing, the roots were placed in a glass syringe filled with glass beads (750 μm, 30 g) and nutrient solution (10 ml) to mimic soil. Roots were allowed to recover and acclimatize for 48 h, with the nutrient solution replaced at 24 h. After the 48 h recovery period, the syringe was washed with a C and N free nutrient solution (3 x 10 ml of KH</w:t>
      </w:r>
      <w:r w:rsidRPr="007A0C87">
        <w:rPr>
          <w:rFonts w:ascii="Arial" w:hAnsi="Arial" w:cs="Arial"/>
          <w:vertAlign w:val="subscript"/>
        </w:rPr>
        <w:t>2</w:t>
      </w:r>
      <w:r w:rsidRPr="007A0C87">
        <w:rPr>
          <w:rFonts w:ascii="Arial" w:hAnsi="Arial" w:cs="Arial"/>
        </w:rPr>
        <w:t>PO</w:t>
      </w:r>
      <w:r w:rsidRPr="007A0C87">
        <w:rPr>
          <w:rFonts w:ascii="Arial" w:hAnsi="Arial" w:cs="Arial"/>
          <w:vertAlign w:val="subscript"/>
        </w:rPr>
        <w:t>4</w:t>
      </w:r>
      <w:r w:rsidRPr="007A0C87">
        <w:rPr>
          <w:rFonts w:ascii="Arial" w:hAnsi="Arial" w:cs="Arial"/>
        </w:rPr>
        <w:t xml:space="preserve"> 13.6 mg l</w:t>
      </w:r>
      <w:r w:rsidRPr="007A0C87">
        <w:rPr>
          <w:rFonts w:ascii="Arial" w:hAnsi="Arial" w:cs="Arial"/>
          <w:vertAlign w:val="superscript"/>
        </w:rPr>
        <w:t>−1</w:t>
      </w:r>
      <w:r w:rsidRPr="007A0C87">
        <w:rPr>
          <w:rFonts w:ascii="Arial" w:hAnsi="Arial" w:cs="Arial"/>
        </w:rPr>
        <w:t>; K</w:t>
      </w:r>
      <w:r w:rsidRPr="007A0C87">
        <w:rPr>
          <w:rFonts w:ascii="Arial" w:hAnsi="Arial" w:cs="Arial"/>
          <w:vertAlign w:val="subscript"/>
        </w:rPr>
        <w:t>2</w:t>
      </w:r>
      <w:r w:rsidRPr="007A0C87">
        <w:rPr>
          <w:rFonts w:ascii="Arial" w:hAnsi="Arial" w:cs="Arial"/>
        </w:rPr>
        <w:t>SO</w:t>
      </w:r>
      <w:r w:rsidRPr="007A0C87">
        <w:rPr>
          <w:rFonts w:ascii="Arial" w:hAnsi="Arial" w:cs="Arial"/>
          <w:vertAlign w:val="subscript"/>
        </w:rPr>
        <w:t>4</w:t>
      </w:r>
      <w:r w:rsidRPr="007A0C87">
        <w:rPr>
          <w:rFonts w:ascii="Arial" w:hAnsi="Arial" w:cs="Arial"/>
        </w:rPr>
        <w:t xml:space="preserve"> 349 mg l</w:t>
      </w:r>
      <w:r w:rsidRPr="007A0C87">
        <w:rPr>
          <w:rFonts w:ascii="Arial" w:hAnsi="Arial" w:cs="Arial"/>
          <w:vertAlign w:val="superscript"/>
        </w:rPr>
        <w:t>−1</w:t>
      </w:r>
      <w:r w:rsidRPr="007A0C87">
        <w:rPr>
          <w:rFonts w:ascii="Arial" w:hAnsi="Arial" w:cs="Arial"/>
        </w:rPr>
        <w:t>; CaCl</w:t>
      </w:r>
      <w:r w:rsidRPr="007A0C87">
        <w:rPr>
          <w:rFonts w:ascii="Arial" w:hAnsi="Arial" w:cs="Arial"/>
          <w:vertAlign w:val="subscript"/>
        </w:rPr>
        <w:t>2</w:t>
      </w:r>
      <w:r w:rsidRPr="007A0C87">
        <w:rPr>
          <w:rFonts w:ascii="Arial" w:hAnsi="Arial" w:cs="Arial"/>
        </w:rPr>
        <w:t xml:space="preserve"> 441 mg l</w:t>
      </w:r>
      <w:r w:rsidRPr="007A0C87">
        <w:rPr>
          <w:rFonts w:ascii="Arial" w:hAnsi="Arial" w:cs="Arial"/>
          <w:vertAlign w:val="superscript"/>
        </w:rPr>
        <w:t>−1</w:t>
      </w:r>
      <w:r w:rsidRPr="007A0C87">
        <w:rPr>
          <w:rFonts w:ascii="Arial" w:hAnsi="Arial" w:cs="Arial"/>
        </w:rPr>
        <w:t xml:space="preserve"> and MgSO</w:t>
      </w:r>
      <w:r w:rsidRPr="007A0C87">
        <w:rPr>
          <w:rFonts w:ascii="Arial" w:hAnsi="Arial" w:cs="Arial"/>
          <w:vertAlign w:val="subscript"/>
        </w:rPr>
        <w:t>4</w:t>
      </w:r>
      <w:r w:rsidRPr="007A0C87">
        <w:rPr>
          <w:rFonts w:ascii="Arial" w:hAnsi="Arial" w:cs="Arial"/>
        </w:rPr>
        <w:t>.7H</w:t>
      </w:r>
      <w:r w:rsidRPr="007A0C87">
        <w:rPr>
          <w:rFonts w:ascii="Arial" w:hAnsi="Arial" w:cs="Arial"/>
          <w:vertAlign w:val="subscript"/>
        </w:rPr>
        <w:t>2</w:t>
      </w:r>
      <w:r w:rsidRPr="007A0C87">
        <w:rPr>
          <w:rFonts w:ascii="Arial" w:hAnsi="Arial" w:cs="Arial"/>
        </w:rPr>
        <w:t>O 0.3705 g l</w:t>
      </w:r>
      <w:r w:rsidRPr="007A0C87">
        <w:rPr>
          <w:rFonts w:ascii="Arial" w:hAnsi="Arial" w:cs="Arial"/>
          <w:vertAlign w:val="superscript"/>
        </w:rPr>
        <w:t>−1</w:t>
      </w:r>
      <w:r w:rsidRPr="007A0C87">
        <w:rPr>
          <w:rFonts w:ascii="Arial" w:hAnsi="Arial" w:cs="Arial"/>
        </w:rPr>
        <w:t xml:space="preserve">), a final 10 ml of nutrient solution added and exudates were collected for 24 h. This time period allowed the capture of the diurnal release of exudates, and also potential rapid re-uptake of exudates; as such, the exudates collected represent net exudation. After 24 h, the solution was collected, and the roots </w:t>
      </w:r>
      <w:r w:rsidR="00B51A4D" w:rsidRPr="007A0C87">
        <w:rPr>
          <w:rFonts w:ascii="Arial" w:hAnsi="Arial" w:cs="Arial"/>
        </w:rPr>
        <w:t xml:space="preserve">were </w:t>
      </w:r>
      <w:r w:rsidRPr="007A0C87">
        <w:rPr>
          <w:rFonts w:ascii="Arial" w:hAnsi="Arial" w:cs="Arial"/>
        </w:rPr>
        <w:t>washed with a further 2 x 10 ml of C and N free nutrient solution. In addition, one blank syringe (i.e. no root) was incubated in a root box per array to correct for any background C and N input (</w:t>
      </w:r>
      <w:r w:rsidRPr="007A0C87">
        <w:rPr>
          <w:rFonts w:ascii="Arial" w:hAnsi="Arial" w:cs="Arial"/>
          <w:i/>
          <w:iCs/>
        </w:rPr>
        <w:t>n</w:t>
      </w:r>
      <w:r w:rsidRPr="007A0C87">
        <w:rPr>
          <w:rFonts w:ascii="Arial" w:hAnsi="Arial" w:cs="Arial"/>
        </w:rPr>
        <w:t>=6 blanks). The exudate solution was analysed for dissolved oxidisable carbon (DOC; assumed herein to be organic) and total dissolved nitrogen (TDN; organic and mineral N) using Shimadzu TOC-L Organic Carbon Analyser, relative standard deviation &lt;1% for DOC and &lt;4% for TDN).</w:t>
      </w:r>
    </w:p>
    <w:p w14:paraId="45A6B0E5" w14:textId="7240C44C" w:rsidR="000B3CF0" w:rsidRPr="007A0C87" w:rsidRDefault="000B3CF0" w:rsidP="000B3CF0">
      <w:pPr>
        <w:rPr>
          <w:rFonts w:ascii="Arial" w:hAnsi="Arial" w:cs="Arial"/>
        </w:rPr>
      </w:pPr>
      <w:r w:rsidRPr="007A0C87">
        <w:rPr>
          <w:rFonts w:ascii="Arial" w:hAnsi="Arial" w:cs="Arial"/>
        </w:rPr>
        <w:t xml:space="preserve">The roots were scanned to quantify root length, diameter and surface area, using RhizoVision Explorer version 2.0.2 (Seethepalli et al., 2021; Seethepalli &amp; York, 2020) and subsequently frozen (−20°C) then lyophilised to determine dry mass. The roots were ground to a fine powder </w:t>
      </w:r>
      <w:r w:rsidR="00B51A4D" w:rsidRPr="007A0C87">
        <w:rPr>
          <w:rFonts w:ascii="Arial" w:hAnsi="Arial" w:cs="Arial"/>
        </w:rPr>
        <w:t xml:space="preserve">and </w:t>
      </w:r>
      <w:r w:rsidRPr="007A0C87">
        <w:rPr>
          <w:rFonts w:ascii="Arial" w:hAnsi="Arial" w:cs="Arial"/>
        </w:rPr>
        <w:t xml:space="preserve">then analysed for total C and N content in triplicate using an organic elemental analyser (EA; vario PYRO cube, Elementar Analysensysteme GmbH, Hanau, Germany). The EA was calibrated with </w:t>
      </w:r>
      <w:hyperlink r:id="rId11" w:tooltip="Learn more about sulfanilamide from ScienceDirect's AI-generated Topic Pages" w:history="1">
        <w:r w:rsidRPr="007A0C87">
          <w:rPr>
            <w:rStyle w:val="Hyperlink"/>
            <w:rFonts w:ascii="Arial" w:hAnsi="Arial" w:cs="Arial"/>
          </w:rPr>
          <w:t>sulfanilamide</w:t>
        </w:r>
      </w:hyperlink>
      <w:r w:rsidRPr="007A0C87">
        <w:rPr>
          <w:rFonts w:ascii="Arial" w:hAnsi="Arial" w:cs="Arial"/>
        </w:rPr>
        <w:t xml:space="preserve"> (N: 16.26%, C:41.81%, S: 18.62%) and the precision as a relative standard deviation was &lt;5% for both C and N.</w:t>
      </w:r>
    </w:p>
    <w:p w14:paraId="780E54A6" w14:textId="4E65FC69" w:rsidR="007E6D05" w:rsidRPr="007A0C87" w:rsidRDefault="007E6D05" w:rsidP="00EC1263">
      <w:pPr>
        <w:rPr>
          <w:rFonts w:ascii="Arial" w:hAnsi="Arial" w:cs="Arial"/>
          <w:b/>
          <w:bCs/>
          <w:i/>
          <w:iCs/>
          <w:u w:val="single"/>
          <w:lang w:val="en-US"/>
        </w:rPr>
      </w:pPr>
      <w:r w:rsidRPr="007A0C87">
        <w:rPr>
          <w:rFonts w:ascii="Arial" w:hAnsi="Arial" w:cs="Arial"/>
          <w:b/>
          <w:bCs/>
          <w:i/>
          <w:iCs/>
          <w:u w:val="single"/>
          <w:lang w:val="en-US"/>
        </w:rPr>
        <w:t xml:space="preserve">Hyphael turnover </w:t>
      </w:r>
    </w:p>
    <w:p w14:paraId="681E6A72" w14:textId="0B3FBF06" w:rsidR="00EC1263" w:rsidRDefault="00EC1263" w:rsidP="00EC1263">
      <w:pPr>
        <w:rPr>
          <w:rFonts w:ascii="Arial" w:hAnsi="Arial" w:cs="Arial"/>
          <w:lang w:val="en-US"/>
        </w:rPr>
      </w:pPr>
      <w:r w:rsidRPr="007A0C87">
        <w:rPr>
          <w:rFonts w:ascii="Arial" w:hAnsi="Arial" w:cs="Arial"/>
          <w:lang w:val="en-US"/>
        </w:rPr>
        <w:t xml:space="preserve">Mycorrhizal extrametrical hyphal production was determined using nylon mesh (45 μm) bags, to exclude roots but permit hyphal ingrowth. The bags (3 x 10 cm) were filled with coarse, </w:t>
      </w:r>
      <w:r w:rsidR="00B51A4D" w:rsidRPr="007A0C87">
        <w:rPr>
          <w:rFonts w:ascii="Arial" w:hAnsi="Arial" w:cs="Arial"/>
          <w:lang w:val="en-US"/>
        </w:rPr>
        <w:t>acid-washed</w:t>
      </w:r>
      <w:r w:rsidRPr="007A0C87">
        <w:rPr>
          <w:rFonts w:ascii="Arial" w:hAnsi="Arial" w:cs="Arial"/>
          <w:lang w:val="en-US"/>
        </w:rPr>
        <w:t xml:space="preserve"> sand and </w:t>
      </w:r>
      <w:r w:rsidR="00B51A4D" w:rsidRPr="007A0C87">
        <w:rPr>
          <w:rFonts w:ascii="Arial" w:hAnsi="Arial" w:cs="Arial"/>
          <w:lang w:val="en-US"/>
        </w:rPr>
        <w:t>heat-sealed</w:t>
      </w:r>
      <w:r w:rsidRPr="007A0C87">
        <w:rPr>
          <w:rFonts w:ascii="Arial" w:hAnsi="Arial" w:cs="Arial"/>
          <w:lang w:val="en-US"/>
        </w:rPr>
        <w:t xml:space="preserve">. They were installed at an angle of 45° into the O horizon in five locations per array. The first set of bags </w:t>
      </w:r>
      <w:r w:rsidR="00B51A4D" w:rsidRPr="007A0C87">
        <w:rPr>
          <w:rFonts w:ascii="Arial" w:hAnsi="Arial" w:cs="Arial"/>
          <w:lang w:val="en-US"/>
        </w:rPr>
        <w:t>was</w:t>
      </w:r>
      <w:r w:rsidRPr="007A0C87">
        <w:rPr>
          <w:rFonts w:ascii="Arial" w:hAnsi="Arial" w:cs="Arial"/>
          <w:lang w:val="en-US"/>
        </w:rPr>
        <w:t xml:space="preserve"> installed on (19</w:t>
      </w:r>
      <w:r w:rsidRPr="007A0C87">
        <w:rPr>
          <w:rFonts w:ascii="Arial" w:hAnsi="Arial" w:cs="Arial"/>
          <w:vertAlign w:val="superscript"/>
          <w:lang w:val="en-US"/>
        </w:rPr>
        <w:t>th</w:t>
      </w:r>
      <w:r w:rsidRPr="007A0C87">
        <w:rPr>
          <w:rFonts w:ascii="Arial" w:hAnsi="Arial" w:cs="Arial"/>
          <w:lang w:val="en-US"/>
        </w:rPr>
        <w:t xml:space="preserve"> May 2020), and three bags per location were installed. One bag was collected and replaced every 3 months (19</w:t>
      </w:r>
      <w:r w:rsidRPr="007A0C87">
        <w:rPr>
          <w:rFonts w:ascii="Arial" w:hAnsi="Arial" w:cs="Arial"/>
          <w:vertAlign w:val="superscript"/>
          <w:lang w:val="en-US"/>
        </w:rPr>
        <w:t>th</w:t>
      </w:r>
      <w:r w:rsidRPr="007A0C87">
        <w:rPr>
          <w:rFonts w:ascii="Arial" w:hAnsi="Arial" w:cs="Arial"/>
          <w:lang w:val="en-US"/>
        </w:rPr>
        <w:t xml:space="preserve"> August 2020, 16</w:t>
      </w:r>
      <w:r w:rsidRPr="007A0C87">
        <w:rPr>
          <w:rFonts w:ascii="Arial" w:hAnsi="Arial" w:cs="Arial"/>
          <w:vertAlign w:val="superscript"/>
          <w:lang w:val="en-US"/>
        </w:rPr>
        <w:t>th</w:t>
      </w:r>
      <w:r w:rsidRPr="007A0C87">
        <w:rPr>
          <w:rFonts w:ascii="Arial" w:hAnsi="Arial" w:cs="Arial"/>
          <w:lang w:val="en-US"/>
        </w:rPr>
        <w:t xml:space="preserve"> November 2020, 23</w:t>
      </w:r>
      <w:r w:rsidRPr="007A0C87">
        <w:rPr>
          <w:rFonts w:ascii="Arial" w:hAnsi="Arial" w:cs="Arial"/>
          <w:vertAlign w:val="superscript"/>
          <w:lang w:val="en-US"/>
        </w:rPr>
        <w:t>rd</w:t>
      </w:r>
      <w:r w:rsidRPr="007A0C87">
        <w:rPr>
          <w:rFonts w:ascii="Arial" w:hAnsi="Arial" w:cs="Arial"/>
          <w:lang w:val="en-US"/>
        </w:rPr>
        <w:t xml:space="preserve"> February </w:t>
      </w:r>
      <w:r w:rsidR="00B51A4D" w:rsidRPr="007A0C87">
        <w:rPr>
          <w:rFonts w:ascii="Arial" w:hAnsi="Arial" w:cs="Arial"/>
          <w:lang w:val="en-US"/>
        </w:rPr>
        <w:t>2021,</w:t>
      </w:r>
      <w:r w:rsidRPr="007A0C87">
        <w:rPr>
          <w:rFonts w:ascii="Arial" w:hAnsi="Arial" w:cs="Arial"/>
          <w:lang w:val="en-US"/>
        </w:rPr>
        <w:t xml:space="preserve"> and 24</w:t>
      </w:r>
      <w:r w:rsidRPr="007A0C87">
        <w:rPr>
          <w:rFonts w:ascii="Arial" w:hAnsi="Arial" w:cs="Arial"/>
          <w:vertAlign w:val="superscript"/>
          <w:lang w:val="en-US"/>
        </w:rPr>
        <w:t>th</w:t>
      </w:r>
      <w:r w:rsidRPr="007A0C87">
        <w:rPr>
          <w:rFonts w:ascii="Arial" w:hAnsi="Arial" w:cs="Arial"/>
          <w:lang w:val="en-US"/>
        </w:rPr>
        <w:t xml:space="preserve"> May 2021), one bag was collected and replaced every 6 months (16</w:t>
      </w:r>
      <w:r w:rsidRPr="007A0C87">
        <w:rPr>
          <w:rFonts w:ascii="Arial" w:hAnsi="Arial" w:cs="Arial"/>
          <w:vertAlign w:val="superscript"/>
          <w:lang w:val="en-US"/>
        </w:rPr>
        <w:t>th</w:t>
      </w:r>
      <w:r w:rsidRPr="007A0C87">
        <w:rPr>
          <w:rFonts w:ascii="Arial" w:hAnsi="Arial" w:cs="Arial"/>
          <w:lang w:val="en-US"/>
        </w:rPr>
        <w:t xml:space="preserve"> November 2020 and 24</w:t>
      </w:r>
      <w:r w:rsidRPr="007A0C87">
        <w:rPr>
          <w:rFonts w:ascii="Arial" w:hAnsi="Arial" w:cs="Arial"/>
          <w:vertAlign w:val="superscript"/>
          <w:lang w:val="en-US"/>
        </w:rPr>
        <w:t>th</w:t>
      </w:r>
      <w:r w:rsidRPr="007A0C87">
        <w:rPr>
          <w:rFonts w:ascii="Arial" w:hAnsi="Arial" w:cs="Arial"/>
          <w:lang w:val="en-US"/>
        </w:rPr>
        <w:t xml:space="preserve"> May 2021) and the final bag was installed for the 12-month duration (24</w:t>
      </w:r>
      <w:r w:rsidRPr="007A0C87">
        <w:rPr>
          <w:rFonts w:ascii="Arial" w:hAnsi="Arial" w:cs="Arial"/>
          <w:vertAlign w:val="superscript"/>
          <w:lang w:val="en-US"/>
        </w:rPr>
        <w:t>th</w:t>
      </w:r>
      <w:r w:rsidRPr="007A0C87">
        <w:rPr>
          <w:rFonts w:ascii="Arial" w:hAnsi="Arial" w:cs="Arial"/>
          <w:lang w:val="en-US"/>
        </w:rPr>
        <w:t xml:space="preserve"> May 2021). This staggered collection aimed to elucidate </w:t>
      </w:r>
      <w:r w:rsidR="00B51A4D" w:rsidRPr="007A0C87">
        <w:rPr>
          <w:rFonts w:ascii="Arial" w:hAnsi="Arial" w:cs="Arial"/>
          <w:lang w:val="en-US"/>
        </w:rPr>
        <w:t xml:space="preserve">the </w:t>
      </w:r>
      <w:r w:rsidRPr="007A0C87">
        <w:rPr>
          <w:rFonts w:ascii="Arial" w:hAnsi="Arial" w:cs="Arial"/>
          <w:lang w:val="en-US"/>
        </w:rPr>
        <w:t xml:space="preserve">production and turnover of hyphae (Ekblad et al., 2016). When the bags were removed, they were immediately split into two sub-samples, one for ECM and the second for AM determination, and frozen until extraction. </w:t>
      </w:r>
      <w:r w:rsidR="00B51A4D" w:rsidRPr="007A0C87">
        <w:rPr>
          <w:rFonts w:ascii="Arial" w:hAnsi="Arial" w:cs="Arial"/>
          <w:lang w:val="en-US"/>
        </w:rPr>
        <w:t>T</w:t>
      </w:r>
      <w:r w:rsidRPr="007A0C87">
        <w:rPr>
          <w:rFonts w:ascii="Arial" w:hAnsi="Arial" w:cs="Arial"/>
          <w:lang w:val="en-US"/>
        </w:rPr>
        <w:t>he moisture content (105°C, 24 h)</w:t>
      </w:r>
      <w:r w:rsidR="00B51A4D" w:rsidRPr="007A0C87">
        <w:rPr>
          <w:rFonts w:ascii="Arial" w:hAnsi="Arial" w:cs="Arial"/>
          <w:lang w:val="en-US"/>
        </w:rPr>
        <w:t xml:space="preserve"> was also determined.</w:t>
      </w:r>
    </w:p>
    <w:p w14:paraId="11C5BBB8" w14:textId="4B27C8DB" w:rsidR="007E6D05" w:rsidRPr="007A0C87" w:rsidRDefault="007E6D05" w:rsidP="00EC1263">
      <w:pPr>
        <w:rPr>
          <w:rFonts w:ascii="Arial" w:hAnsi="Arial" w:cs="Arial"/>
          <w:b/>
          <w:bCs/>
          <w:i/>
          <w:iCs/>
          <w:u w:val="single"/>
          <w:lang w:val="en-US"/>
        </w:rPr>
      </w:pPr>
      <w:r w:rsidRPr="007A0C87">
        <w:rPr>
          <w:rFonts w:ascii="Arial" w:hAnsi="Arial" w:cs="Arial"/>
          <w:b/>
          <w:bCs/>
          <w:i/>
          <w:iCs/>
          <w:u w:val="single"/>
          <w:lang w:val="en-US"/>
        </w:rPr>
        <w:t>Root uptake of nitrogen</w:t>
      </w:r>
    </w:p>
    <w:p w14:paraId="6BCF40B1" w14:textId="414FBA68" w:rsidR="006143D9" w:rsidRPr="007A0C87" w:rsidRDefault="00966C53" w:rsidP="006143D9">
      <w:pPr>
        <w:rPr>
          <w:rFonts w:ascii="Arial" w:hAnsi="Arial" w:cs="Arial"/>
        </w:rPr>
      </w:pPr>
      <w:r w:rsidRPr="007A0C87">
        <w:rPr>
          <w:rFonts w:ascii="Arial" w:hAnsi="Arial" w:cs="Arial"/>
          <w:lang w:val="en-US"/>
        </w:rPr>
        <w:t>For r</w:t>
      </w:r>
      <w:r w:rsidR="00904A78" w:rsidRPr="007A0C87">
        <w:rPr>
          <w:rFonts w:ascii="Arial" w:hAnsi="Arial" w:cs="Arial"/>
          <w:lang w:val="en-US"/>
        </w:rPr>
        <w:t>oot uptak</w:t>
      </w:r>
      <w:r w:rsidRPr="007A0C87">
        <w:rPr>
          <w:rFonts w:ascii="Arial" w:hAnsi="Arial" w:cs="Arial"/>
          <w:lang w:val="en-US"/>
        </w:rPr>
        <w:t xml:space="preserve">e, </w:t>
      </w:r>
      <w:r w:rsidRPr="007A0C87">
        <w:rPr>
          <w:rFonts w:ascii="Arial" w:hAnsi="Arial" w:cs="Arial"/>
        </w:rPr>
        <w:t xml:space="preserve">four oak roots inside the pre-installed root boxes were located in </w:t>
      </w:r>
      <w:r w:rsidR="00780E26" w:rsidRPr="007A0C87">
        <w:rPr>
          <w:rFonts w:ascii="Arial" w:hAnsi="Arial" w:cs="Arial"/>
        </w:rPr>
        <w:t xml:space="preserve">August and October 2022. </w:t>
      </w:r>
      <w:r w:rsidRPr="007A0C87">
        <w:rPr>
          <w:rFonts w:ascii="Arial" w:hAnsi="Arial" w:cs="Arial"/>
        </w:rPr>
        <w:t>Clean</w:t>
      </w:r>
      <w:r w:rsidR="00780E26" w:rsidRPr="007A0C87">
        <w:rPr>
          <w:rFonts w:ascii="Arial" w:hAnsi="Arial" w:cs="Arial"/>
        </w:rPr>
        <w:t>ed</w:t>
      </w:r>
      <w:r w:rsidRPr="007A0C87">
        <w:rPr>
          <w:rFonts w:ascii="Arial" w:hAnsi="Arial" w:cs="Arial"/>
        </w:rPr>
        <w:t xml:space="preserve"> roots</w:t>
      </w:r>
      <w:r w:rsidR="00780E26" w:rsidRPr="007A0C87">
        <w:rPr>
          <w:rFonts w:ascii="Arial" w:hAnsi="Arial" w:cs="Arial"/>
        </w:rPr>
        <w:t xml:space="preserve"> </w:t>
      </w:r>
      <w:r w:rsidR="00B51A4D" w:rsidRPr="007A0C87">
        <w:rPr>
          <w:rFonts w:ascii="Arial" w:hAnsi="Arial" w:cs="Arial"/>
        </w:rPr>
        <w:t>were placed</w:t>
      </w:r>
      <w:r w:rsidRPr="007A0C87">
        <w:rPr>
          <w:rFonts w:ascii="Arial" w:hAnsi="Arial" w:cs="Arial"/>
        </w:rPr>
        <w:t xml:space="preserve"> in sand with a nutrient solution for 24 hours. After the </w:t>
      </w:r>
      <w:r w:rsidR="00B51A4D" w:rsidRPr="007A0C87">
        <w:rPr>
          <w:rFonts w:ascii="Arial" w:hAnsi="Arial" w:cs="Arial"/>
        </w:rPr>
        <w:t>24-hour</w:t>
      </w:r>
      <w:r w:rsidRPr="007A0C87">
        <w:rPr>
          <w:rFonts w:ascii="Arial" w:hAnsi="Arial" w:cs="Arial"/>
        </w:rPr>
        <w:t xml:space="preserve"> pre-incubation in </w:t>
      </w:r>
      <w:r w:rsidR="00B51A4D" w:rsidRPr="007A0C87">
        <w:rPr>
          <w:rFonts w:ascii="Arial" w:hAnsi="Arial" w:cs="Arial"/>
        </w:rPr>
        <w:t xml:space="preserve">the </w:t>
      </w:r>
      <w:r w:rsidRPr="007A0C87">
        <w:rPr>
          <w:rFonts w:ascii="Arial" w:hAnsi="Arial" w:cs="Arial"/>
        </w:rPr>
        <w:t xml:space="preserve">sand, </w:t>
      </w:r>
      <w:r w:rsidR="00780E26" w:rsidRPr="007A0C87">
        <w:rPr>
          <w:rFonts w:ascii="Arial" w:hAnsi="Arial" w:cs="Arial"/>
        </w:rPr>
        <w:t xml:space="preserve">the </w:t>
      </w:r>
      <w:r w:rsidR="00B51A4D" w:rsidRPr="007A0C87">
        <w:rPr>
          <w:rFonts w:ascii="Arial" w:hAnsi="Arial" w:cs="Arial"/>
        </w:rPr>
        <w:t>roots</w:t>
      </w:r>
      <w:r w:rsidR="00780E26" w:rsidRPr="007A0C87">
        <w:rPr>
          <w:rFonts w:ascii="Arial" w:hAnsi="Arial" w:cs="Arial"/>
        </w:rPr>
        <w:t xml:space="preserve"> were cleaned again </w:t>
      </w:r>
      <w:r w:rsidRPr="007A0C87">
        <w:rPr>
          <w:rFonts w:ascii="Arial" w:hAnsi="Arial" w:cs="Arial"/>
        </w:rPr>
        <w:t>and place</w:t>
      </w:r>
      <w:r w:rsidR="00780E26" w:rsidRPr="007A0C87">
        <w:rPr>
          <w:rFonts w:ascii="Arial" w:hAnsi="Arial" w:cs="Arial"/>
        </w:rPr>
        <w:t>d</w:t>
      </w:r>
      <w:r w:rsidRPr="007A0C87">
        <w:rPr>
          <w:rFonts w:ascii="Arial" w:hAnsi="Arial" w:cs="Arial"/>
        </w:rPr>
        <w:t xml:space="preserve"> in a solution containing different N forms labelled with 15N for 2 hours. We have four different 15N solutions; </w:t>
      </w:r>
      <w:r w:rsidRPr="007A0C87">
        <w:rPr>
          <w:rFonts w:ascii="Arial" w:hAnsi="Arial" w:cs="Arial"/>
          <w:vertAlign w:val="superscript"/>
        </w:rPr>
        <w:t>15</w:t>
      </w:r>
      <w:r w:rsidRPr="007A0C87">
        <w:rPr>
          <w:rFonts w:ascii="Arial" w:hAnsi="Arial" w:cs="Arial"/>
        </w:rPr>
        <w:t>N-NH</w:t>
      </w:r>
      <w:r w:rsidRPr="007A0C87">
        <w:rPr>
          <w:rFonts w:ascii="Arial" w:hAnsi="Arial" w:cs="Arial"/>
          <w:vertAlign w:val="subscript"/>
        </w:rPr>
        <w:t>4</w:t>
      </w:r>
      <w:r w:rsidRPr="007A0C87">
        <w:rPr>
          <w:rFonts w:ascii="Arial" w:hAnsi="Arial" w:cs="Arial"/>
        </w:rPr>
        <w:t xml:space="preserve">Cl, </w:t>
      </w:r>
      <w:r w:rsidRPr="007A0C87">
        <w:rPr>
          <w:rFonts w:ascii="Arial" w:hAnsi="Arial" w:cs="Arial"/>
          <w:vertAlign w:val="superscript"/>
        </w:rPr>
        <w:t>15</w:t>
      </w:r>
      <w:r w:rsidRPr="007A0C87">
        <w:rPr>
          <w:rFonts w:ascii="Arial" w:hAnsi="Arial" w:cs="Arial"/>
        </w:rPr>
        <w:t>N-KNO</w:t>
      </w:r>
      <w:r w:rsidRPr="007A0C87">
        <w:rPr>
          <w:rFonts w:ascii="Arial" w:hAnsi="Arial" w:cs="Arial"/>
          <w:vertAlign w:val="subscript"/>
        </w:rPr>
        <w:t>3</w:t>
      </w:r>
      <w:r w:rsidRPr="007A0C87">
        <w:rPr>
          <w:rFonts w:ascii="Arial" w:hAnsi="Arial" w:cs="Arial"/>
        </w:rPr>
        <w:t xml:space="preserve">, </w:t>
      </w:r>
      <w:r w:rsidRPr="007A0C87">
        <w:rPr>
          <w:rFonts w:ascii="Arial" w:hAnsi="Arial" w:cs="Arial"/>
          <w:vertAlign w:val="superscript"/>
        </w:rPr>
        <w:t>15</w:t>
      </w:r>
      <w:r w:rsidRPr="007A0C87">
        <w:rPr>
          <w:rFonts w:ascii="Arial" w:hAnsi="Arial" w:cs="Arial"/>
        </w:rPr>
        <w:t>N-</w:t>
      </w:r>
      <w:r w:rsidRPr="007A0C87">
        <w:rPr>
          <w:rFonts w:ascii="Arial" w:hAnsi="Arial" w:cs="Arial"/>
          <w:vertAlign w:val="superscript"/>
        </w:rPr>
        <w:t>13</w:t>
      </w:r>
      <w:r w:rsidRPr="007A0C87">
        <w:rPr>
          <w:rFonts w:ascii="Arial" w:hAnsi="Arial" w:cs="Arial"/>
        </w:rPr>
        <w:t xml:space="preserve">C-AA and an unlabelled natural abundance solution, the label enrichment is 98 atom % N for the relevant N form. All solutions </w:t>
      </w:r>
      <w:r w:rsidR="00780E26" w:rsidRPr="007A0C87">
        <w:rPr>
          <w:rFonts w:ascii="Arial" w:hAnsi="Arial" w:cs="Arial"/>
        </w:rPr>
        <w:t>had</w:t>
      </w:r>
      <w:r w:rsidRPr="007A0C87">
        <w:rPr>
          <w:rFonts w:ascii="Arial" w:hAnsi="Arial" w:cs="Arial"/>
        </w:rPr>
        <w:t xml:space="preserve"> a concentration of 50 umol N, which </w:t>
      </w:r>
      <w:r w:rsidR="00780E26" w:rsidRPr="007A0C87">
        <w:rPr>
          <w:rFonts w:ascii="Arial" w:hAnsi="Arial" w:cs="Arial"/>
        </w:rPr>
        <w:t>was</w:t>
      </w:r>
      <w:r w:rsidRPr="007A0C87">
        <w:rPr>
          <w:rFonts w:ascii="Arial" w:hAnsi="Arial" w:cs="Arial"/>
        </w:rPr>
        <w:t xml:space="preserve"> higher than i</w:t>
      </w:r>
      <w:r w:rsidR="00780E26" w:rsidRPr="007A0C87">
        <w:rPr>
          <w:rFonts w:ascii="Arial" w:hAnsi="Arial" w:cs="Arial"/>
        </w:rPr>
        <w:t>s</w:t>
      </w:r>
      <w:r w:rsidRPr="007A0C87">
        <w:rPr>
          <w:rFonts w:ascii="Arial" w:hAnsi="Arial" w:cs="Arial"/>
        </w:rPr>
        <w:t xml:space="preserve"> found in the forest floor to not have a N limitation of the roots during the experiment. After the 2-hour 15N incubation the roots are cut and placed in plastic bags, put on ice, and transported back to campus for further </w:t>
      </w:r>
      <w:r w:rsidRPr="007A0C87">
        <w:rPr>
          <w:rFonts w:ascii="Arial" w:hAnsi="Arial" w:cs="Arial"/>
        </w:rPr>
        <w:lastRenderedPageBreak/>
        <w:t xml:space="preserve">processing and analysis. </w:t>
      </w:r>
      <w:r w:rsidR="00603D3D" w:rsidRPr="007A0C87">
        <w:rPr>
          <w:rFonts w:ascii="Arial" w:hAnsi="Arial" w:cs="Arial"/>
        </w:rPr>
        <w:t xml:space="preserve"> Roots were dried and then pulverised with a pestle and mortar (&lt;1 mm) and </w:t>
      </w:r>
      <w:r w:rsidR="00603D3D" w:rsidRPr="007A0C87">
        <w:rPr>
          <w:rFonts w:ascii="Cambria Math" w:hAnsi="Cambria Math" w:cs="Cambria Math"/>
        </w:rPr>
        <w:t>∼</w:t>
      </w:r>
      <w:r w:rsidR="00603D3D" w:rsidRPr="007A0C87">
        <w:rPr>
          <w:rFonts w:ascii="Arial" w:hAnsi="Arial" w:cs="Arial"/>
        </w:rPr>
        <w:t>10 mg subsamples were weighed in triplicate into tin capsules and analysed for elemental C &amp; N contents as well as </w:t>
      </w:r>
      <w:r w:rsidR="00603D3D" w:rsidRPr="007A0C87">
        <w:rPr>
          <w:rFonts w:ascii="Arial" w:hAnsi="Arial" w:cs="Arial"/>
          <w:i/>
          <w:iCs/>
        </w:rPr>
        <w:t>δ</w:t>
      </w:r>
      <w:r w:rsidR="00603D3D" w:rsidRPr="007A0C87">
        <w:rPr>
          <w:rFonts w:ascii="Arial" w:hAnsi="Arial" w:cs="Arial"/>
          <w:vertAlign w:val="superscript"/>
        </w:rPr>
        <w:t>15</w:t>
      </w:r>
      <w:r w:rsidR="00603D3D" w:rsidRPr="007A0C87">
        <w:rPr>
          <w:rFonts w:ascii="Arial" w:hAnsi="Arial" w:cs="Arial"/>
        </w:rPr>
        <w:t>N and </w:t>
      </w:r>
      <w:r w:rsidR="00603D3D" w:rsidRPr="007A0C87">
        <w:rPr>
          <w:rFonts w:ascii="Arial" w:hAnsi="Arial" w:cs="Arial"/>
          <w:i/>
          <w:iCs/>
        </w:rPr>
        <w:t>δ</w:t>
      </w:r>
      <w:r w:rsidR="00603D3D" w:rsidRPr="007A0C87">
        <w:rPr>
          <w:rFonts w:ascii="Arial" w:hAnsi="Arial" w:cs="Arial"/>
          <w:vertAlign w:val="superscript"/>
        </w:rPr>
        <w:t>13</w:t>
      </w:r>
      <w:r w:rsidR="00603D3D" w:rsidRPr="007A0C87">
        <w:rPr>
          <w:rFonts w:ascii="Arial" w:hAnsi="Arial" w:cs="Arial"/>
        </w:rPr>
        <w:t>C stable isotopes via a continuous flow </w:t>
      </w:r>
      <w:hyperlink r:id="rId12" w:tooltip="Learn more about isotope ratio from ScienceDirect's AI-generated Topic Pages" w:history="1">
        <w:r w:rsidR="00603D3D" w:rsidRPr="007A0C87">
          <w:rPr>
            <w:rStyle w:val="Hyperlink"/>
            <w:rFonts w:ascii="Arial" w:hAnsi="Arial" w:cs="Arial"/>
          </w:rPr>
          <w:t>isotope ratio</w:t>
        </w:r>
      </w:hyperlink>
      <w:r w:rsidR="00603D3D" w:rsidRPr="007A0C87">
        <w:rPr>
          <w:rFonts w:ascii="Arial" w:hAnsi="Arial" w:cs="Arial"/>
        </w:rPr>
        <w:t> mass spectrometer (Elementar Isoprime Precision; Elementar Analysensysteme GmbH, Hanau, Germany) coupled with an elemental analyser (EA) inlet (vario PYRO cube; Elementar Analysensysteme GmbH, Hanau, Germany). The EA was calibrated with </w:t>
      </w:r>
      <w:hyperlink r:id="rId13" w:tooltip="Learn more about sulfanilamide from ScienceDirect's AI-generated Topic Pages" w:history="1">
        <w:r w:rsidR="00603D3D" w:rsidRPr="007A0C87">
          <w:rPr>
            <w:rStyle w:val="Hyperlink"/>
            <w:rFonts w:ascii="Arial" w:hAnsi="Arial" w:cs="Arial"/>
          </w:rPr>
          <w:t>sulfanilamide</w:t>
        </w:r>
      </w:hyperlink>
      <w:r w:rsidR="00603D3D" w:rsidRPr="007A0C87">
        <w:rPr>
          <w:rFonts w:ascii="Arial" w:hAnsi="Arial" w:cs="Arial"/>
        </w:rPr>
        <w:t xml:space="preserve"> (N: 16.26%, C:41.81%, S: 18.62%) and the precision as </w:t>
      </w:r>
      <w:r w:rsidR="008D6072" w:rsidRPr="007A0C87">
        <w:rPr>
          <w:rFonts w:ascii="Arial" w:hAnsi="Arial" w:cs="Arial"/>
        </w:rPr>
        <w:t>an</w:t>
      </w:r>
      <w:r w:rsidR="00603D3D" w:rsidRPr="007A0C87">
        <w:rPr>
          <w:rFonts w:ascii="Arial" w:hAnsi="Arial" w:cs="Arial"/>
        </w:rPr>
        <w:t xml:space="preserve"> RSD was &lt;5% for both C and N. The IRMS was calibrated against international reference standards (caffeine: USGS61 (−2.87‰ </w:t>
      </w:r>
      <w:r w:rsidR="00603D3D" w:rsidRPr="007A0C87">
        <w:rPr>
          <w:rFonts w:ascii="Arial" w:hAnsi="Arial" w:cs="Arial"/>
          <w:i/>
          <w:iCs/>
        </w:rPr>
        <w:t>δ</w:t>
      </w:r>
      <w:r w:rsidR="00603D3D" w:rsidRPr="007A0C87">
        <w:rPr>
          <w:rFonts w:ascii="Arial" w:hAnsi="Arial" w:cs="Arial"/>
          <w:vertAlign w:val="superscript"/>
        </w:rPr>
        <w:t>15</w:t>
      </w:r>
      <w:r w:rsidR="00603D3D" w:rsidRPr="007A0C87">
        <w:rPr>
          <w:rFonts w:ascii="Arial" w:hAnsi="Arial" w:cs="Arial"/>
        </w:rPr>
        <w:t>N, −35.05‰ </w:t>
      </w:r>
      <w:r w:rsidR="00603D3D" w:rsidRPr="007A0C87">
        <w:rPr>
          <w:rFonts w:ascii="Arial" w:hAnsi="Arial" w:cs="Arial"/>
          <w:i/>
          <w:iCs/>
        </w:rPr>
        <w:t>δ</w:t>
      </w:r>
      <w:r w:rsidR="00603D3D" w:rsidRPr="007A0C87">
        <w:rPr>
          <w:rFonts w:ascii="Arial" w:hAnsi="Arial" w:cs="Arial"/>
          <w:vertAlign w:val="superscript"/>
        </w:rPr>
        <w:t>13</w:t>
      </w:r>
      <w:r w:rsidR="00603D3D" w:rsidRPr="007A0C87">
        <w:rPr>
          <w:rFonts w:ascii="Arial" w:hAnsi="Arial" w:cs="Arial"/>
        </w:rPr>
        <w:t>C VPDB), USGS62 (20.17‰ </w:t>
      </w:r>
      <w:r w:rsidR="00603D3D" w:rsidRPr="007A0C87">
        <w:rPr>
          <w:rFonts w:ascii="Arial" w:hAnsi="Arial" w:cs="Arial"/>
          <w:i/>
          <w:iCs/>
        </w:rPr>
        <w:t>δ</w:t>
      </w:r>
      <w:r w:rsidR="00603D3D" w:rsidRPr="007A0C87">
        <w:rPr>
          <w:rFonts w:ascii="Arial" w:hAnsi="Arial" w:cs="Arial"/>
          <w:vertAlign w:val="superscript"/>
        </w:rPr>
        <w:t>15</w:t>
      </w:r>
      <w:r w:rsidR="00603D3D" w:rsidRPr="007A0C87">
        <w:rPr>
          <w:rFonts w:ascii="Arial" w:hAnsi="Arial" w:cs="Arial"/>
        </w:rPr>
        <w:t>N, −14.79‰ </w:t>
      </w:r>
      <w:r w:rsidR="00603D3D" w:rsidRPr="007A0C87">
        <w:rPr>
          <w:rFonts w:ascii="Arial" w:hAnsi="Arial" w:cs="Arial"/>
          <w:i/>
          <w:iCs/>
        </w:rPr>
        <w:t>δ</w:t>
      </w:r>
      <w:r w:rsidR="00603D3D" w:rsidRPr="007A0C87">
        <w:rPr>
          <w:rFonts w:ascii="Arial" w:hAnsi="Arial" w:cs="Arial"/>
          <w:vertAlign w:val="superscript"/>
        </w:rPr>
        <w:t>13</w:t>
      </w:r>
      <w:r w:rsidR="00603D3D" w:rsidRPr="007A0C87">
        <w:rPr>
          <w:rFonts w:ascii="Arial" w:hAnsi="Arial" w:cs="Arial"/>
        </w:rPr>
        <w:t>C VPDB), USGS63 (37.83‰ </w:t>
      </w:r>
      <w:r w:rsidR="00603D3D" w:rsidRPr="007A0C87">
        <w:rPr>
          <w:rFonts w:ascii="Arial" w:hAnsi="Arial" w:cs="Arial"/>
          <w:i/>
          <w:iCs/>
        </w:rPr>
        <w:t>δ</w:t>
      </w:r>
      <w:r w:rsidR="00603D3D" w:rsidRPr="007A0C87">
        <w:rPr>
          <w:rFonts w:ascii="Arial" w:hAnsi="Arial" w:cs="Arial"/>
          <w:vertAlign w:val="superscript"/>
        </w:rPr>
        <w:t>15</w:t>
      </w:r>
      <w:r w:rsidR="00603D3D" w:rsidRPr="007A0C87">
        <w:rPr>
          <w:rFonts w:ascii="Arial" w:hAnsi="Arial" w:cs="Arial"/>
        </w:rPr>
        <w:t>N −1.17‰ </w:t>
      </w:r>
      <w:r w:rsidR="00603D3D" w:rsidRPr="007A0C87">
        <w:rPr>
          <w:rFonts w:ascii="Arial" w:hAnsi="Arial" w:cs="Arial"/>
          <w:i/>
          <w:iCs/>
        </w:rPr>
        <w:t>δ</w:t>
      </w:r>
      <w:r w:rsidR="00603D3D" w:rsidRPr="007A0C87">
        <w:rPr>
          <w:rFonts w:ascii="Arial" w:hAnsi="Arial" w:cs="Arial"/>
          <w:vertAlign w:val="superscript"/>
        </w:rPr>
        <w:t>13</w:t>
      </w:r>
      <w:r w:rsidR="00603D3D" w:rsidRPr="007A0C87">
        <w:rPr>
          <w:rFonts w:ascii="Arial" w:hAnsi="Arial" w:cs="Arial"/>
        </w:rPr>
        <w:t>C VPDB) and the precision as a standard deviation (SD) was &lt;0.06‰ for both </w:t>
      </w:r>
      <w:r w:rsidR="00603D3D" w:rsidRPr="007A0C87">
        <w:rPr>
          <w:rFonts w:ascii="Arial" w:hAnsi="Arial" w:cs="Arial"/>
          <w:i/>
          <w:iCs/>
        </w:rPr>
        <w:t>δ</w:t>
      </w:r>
      <w:r w:rsidR="00603D3D" w:rsidRPr="007A0C87">
        <w:rPr>
          <w:rFonts w:ascii="Arial" w:hAnsi="Arial" w:cs="Arial"/>
          <w:vertAlign w:val="superscript"/>
        </w:rPr>
        <w:t>15</w:t>
      </w:r>
      <w:r w:rsidR="00603D3D" w:rsidRPr="007A0C87">
        <w:rPr>
          <w:rFonts w:ascii="Arial" w:hAnsi="Arial" w:cs="Arial"/>
        </w:rPr>
        <w:t>N and </w:t>
      </w:r>
      <w:r w:rsidR="00603D3D" w:rsidRPr="007A0C87">
        <w:rPr>
          <w:rFonts w:ascii="Arial" w:hAnsi="Arial" w:cs="Arial"/>
          <w:i/>
          <w:iCs/>
        </w:rPr>
        <w:t>δ</w:t>
      </w:r>
      <w:r w:rsidR="00603D3D" w:rsidRPr="007A0C87">
        <w:rPr>
          <w:rFonts w:ascii="Arial" w:hAnsi="Arial" w:cs="Arial"/>
          <w:vertAlign w:val="superscript"/>
        </w:rPr>
        <w:t>13</w:t>
      </w:r>
      <w:r w:rsidR="00603D3D" w:rsidRPr="007A0C87">
        <w:rPr>
          <w:rFonts w:ascii="Arial" w:hAnsi="Arial" w:cs="Arial"/>
        </w:rPr>
        <w:t xml:space="preserve">C stable isotopes (Sgouridis et al. 2023). </w:t>
      </w:r>
    </w:p>
    <w:p w14:paraId="60E80452" w14:textId="30150254" w:rsidR="006143D9" w:rsidRPr="007A0C87" w:rsidRDefault="006143D9" w:rsidP="006143D9">
      <w:pPr>
        <w:rPr>
          <w:rFonts w:ascii="Arial" w:hAnsi="Arial" w:cs="Arial"/>
          <w:b/>
          <w:bCs/>
          <w:u w:val="single"/>
        </w:rPr>
      </w:pPr>
      <w:r w:rsidRPr="007A0C87">
        <w:rPr>
          <w:rFonts w:ascii="Arial" w:hAnsi="Arial" w:cs="Arial"/>
          <w:b/>
          <w:bCs/>
          <w:u w:val="single"/>
        </w:rPr>
        <w:t>Gross N mineralization</w:t>
      </w:r>
    </w:p>
    <w:p w14:paraId="28FDB392" w14:textId="1363AA58" w:rsidR="006359A3" w:rsidRPr="007A0C87" w:rsidRDefault="008D6072" w:rsidP="002A6B00">
      <w:pPr>
        <w:jc w:val="both"/>
        <w:rPr>
          <w:rFonts w:ascii="Arial" w:hAnsi="Arial" w:cs="Arial"/>
        </w:rPr>
      </w:pPr>
      <w:r w:rsidRPr="007A0C87">
        <w:rPr>
          <w:rFonts w:ascii="Arial" w:hAnsi="Arial" w:cs="Arial"/>
        </w:rPr>
        <w:t>Field-moist</w:t>
      </w:r>
      <w:r w:rsidR="006143D9" w:rsidRPr="007A0C87">
        <w:rPr>
          <w:rFonts w:ascii="Arial" w:hAnsi="Arial" w:cs="Arial"/>
        </w:rPr>
        <w:t>, homogenised soils were used in a laboratory incubation with </w:t>
      </w:r>
      <w:r w:rsidR="006143D9" w:rsidRPr="007A0C87">
        <w:rPr>
          <w:rFonts w:ascii="Arial" w:hAnsi="Arial" w:cs="Arial"/>
          <w:vertAlign w:val="superscript"/>
        </w:rPr>
        <w:t>15</w:t>
      </w:r>
      <w:r w:rsidR="006143D9" w:rsidRPr="007A0C87">
        <w:rPr>
          <w:rFonts w:ascii="Arial" w:hAnsi="Arial" w:cs="Arial"/>
        </w:rPr>
        <w:t>N-NH</w:t>
      </w:r>
      <w:r w:rsidR="006143D9" w:rsidRPr="007A0C87">
        <w:rPr>
          <w:rFonts w:ascii="Arial" w:hAnsi="Arial" w:cs="Arial"/>
          <w:vertAlign w:val="subscript"/>
        </w:rPr>
        <w:t>4</w:t>
      </w:r>
      <w:r w:rsidR="006143D9" w:rsidRPr="007A0C87">
        <w:rPr>
          <w:rFonts w:ascii="Arial" w:hAnsi="Arial" w:cs="Arial"/>
          <w:vertAlign w:val="superscript"/>
        </w:rPr>
        <w:t>+</w:t>
      </w:r>
      <w:r w:rsidR="006143D9" w:rsidRPr="007A0C87">
        <w:rPr>
          <w:rFonts w:ascii="Arial" w:hAnsi="Arial" w:cs="Arial"/>
        </w:rPr>
        <w:t> and </w:t>
      </w:r>
      <w:r w:rsidR="006143D9" w:rsidRPr="007A0C87">
        <w:rPr>
          <w:rFonts w:ascii="Arial" w:hAnsi="Arial" w:cs="Arial"/>
          <w:vertAlign w:val="superscript"/>
        </w:rPr>
        <w:t>15</w:t>
      </w:r>
      <w:r w:rsidR="006143D9" w:rsidRPr="007A0C87">
        <w:rPr>
          <w:rFonts w:ascii="Arial" w:hAnsi="Arial" w:cs="Arial"/>
        </w:rPr>
        <w:t>N-NO</w:t>
      </w:r>
      <w:r w:rsidR="006143D9" w:rsidRPr="007A0C87">
        <w:rPr>
          <w:rFonts w:ascii="Arial" w:hAnsi="Arial" w:cs="Arial"/>
          <w:vertAlign w:val="subscript"/>
        </w:rPr>
        <w:t>3</w:t>
      </w:r>
      <w:r w:rsidR="006143D9" w:rsidRPr="007A0C87">
        <w:rPr>
          <w:rFonts w:ascii="Arial" w:hAnsi="Arial" w:cs="Arial"/>
          <w:vertAlign w:val="superscript"/>
        </w:rPr>
        <w:t>-</w:t>
      </w:r>
      <w:r w:rsidR="006143D9" w:rsidRPr="007A0C87">
        <w:rPr>
          <w:rFonts w:ascii="Arial" w:hAnsi="Arial" w:cs="Arial"/>
        </w:rPr>
        <w:t> to determine gross mineralisation and nitrification rates</w:t>
      </w:r>
      <w:bookmarkStart w:id="1" w:name="bbib26"/>
      <w:r w:rsidR="006143D9" w:rsidRPr="007A0C87">
        <w:rPr>
          <w:rFonts w:ascii="Arial" w:hAnsi="Arial" w:cs="Arial"/>
        </w:rPr>
        <w:t>. Briefly, 10 g of field moist soil sample was weighed in</w:t>
      </w:r>
      <w:r w:rsidR="002A6B00" w:rsidRPr="007A0C87">
        <w:rPr>
          <w:rFonts w:ascii="Arial" w:hAnsi="Arial" w:cs="Arial"/>
        </w:rPr>
        <w:t xml:space="preserve">to </w:t>
      </w:r>
      <w:r w:rsidR="006143D9" w:rsidRPr="007A0C87">
        <w:rPr>
          <w:rFonts w:ascii="Arial" w:hAnsi="Arial" w:cs="Arial"/>
        </w:rPr>
        <w:t xml:space="preserve">120 mL volume serum bottles. Two of each </w:t>
      </w:r>
      <w:r w:rsidRPr="007A0C87">
        <w:rPr>
          <w:rFonts w:ascii="Arial" w:hAnsi="Arial" w:cs="Arial"/>
        </w:rPr>
        <w:t>replicate</w:t>
      </w:r>
      <w:r w:rsidR="006143D9" w:rsidRPr="007A0C87">
        <w:rPr>
          <w:rFonts w:ascii="Arial" w:hAnsi="Arial" w:cs="Arial"/>
        </w:rPr>
        <w:t xml:space="preserve"> received 0.5 ml labelled K</w:t>
      </w:r>
      <w:r w:rsidR="006143D9" w:rsidRPr="007A0C87">
        <w:rPr>
          <w:rFonts w:ascii="Arial" w:hAnsi="Arial" w:cs="Arial"/>
          <w:vertAlign w:val="superscript"/>
        </w:rPr>
        <w:t>15</w:t>
      </w:r>
      <w:r w:rsidR="006143D9" w:rsidRPr="007A0C87">
        <w:rPr>
          <w:rFonts w:ascii="Arial" w:hAnsi="Arial" w:cs="Arial"/>
        </w:rPr>
        <w:t>NO</w:t>
      </w:r>
      <w:r w:rsidR="006143D9" w:rsidRPr="007A0C87">
        <w:rPr>
          <w:rFonts w:ascii="Arial" w:hAnsi="Arial" w:cs="Arial"/>
          <w:vertAlign w:val="subscript"/>
        </w:rPr>
        <w:t>3</w:t>
      </w:r>
      <w:r w:rsidR="006143D9" w:rsidRPr="007A0C87">
        <w:rPr>
          <w:rFonts w:ascii="Arial" w:hAnsi="Arial" w:cs="Arial"/>
          <w:vertAlign w:val="superscript"/>
        </w:rPr>
        <w:t>−</w:t>
      </w:r>
      <w:r w:rsidR="006143D9" w:rsidRPr="007A0C87">
        <w:rPr>
          <w:rFonts w:ascii="Arial" w:hAnsi="Arial" w:cs="Arial"/>
        </w:rPr>
        <w:t> and the other two received 0.5 ml labelled </w:t>
      </w:r>
      <w:r w:rsidR="006143D9" w:rsidRPr="007A0C87">
        <w:rPr>
          <w:rFonts w:ascii="Arial" w:hAnsi="Arial" w:cs="Arial"/>
          <w:vertAlign w:val="superscript"/>
        </w:rPr>
        <w:t>15</w:t>
      </w:r>
      <w:r w:rsidR="006143D9" w:rsidRPr="007A0C87">
        <w:rPr>
          <w:rFonts w:ascii="Arial" w:hAnsi="Arial" w:cs="Arial"/>
        </w:rPr>
        <w:t>(NH</w:t>
      </w:r>
      <w:r w:rsidR="006143D9" w:rsidRPr="007A0C87">
        <w:rPr>
          <w:rFonts w:ascii="Arial" w:hAnsi="Arial" w:cs="Arial"/>
          <w:vertAlign w:val="subscript"/>
        </w:rPr>
        <w:t>4</w:t>
      </w:r>
      <w:r w:rsidR="006143D9" w:rsidRPr="007A0C87">
        <w:rPr>
          <w:rFonts w:ascii="Arial" w:hAnsi="Arial" w:cs="Arial"/>
        </w:rPr>
        <w:t>)</w:t>
      </w:r>
      <w:r w:rsidR="006143D9" w:rsidRPr="007A0C87">
        <w:rPr>
          <w:rFonts w:ascii="Arial" w:hAnsi="Arial" w:cs="Arial"/>
          <w:vertAlign w:val="subscript"/>
        </w:rPr>
        <w:t>2</w:t>
      </w:r>
      <w:r w:rsidR="006143D9" w:rsidRPr="007A0C87">
        <w:rPr>
          <w:rFonts w:ascii="Arial" w:hAnsi="Arial" w:cs="Arial"/>
        </w:rPr>
        <w:t>SO</w:t>
      </w:r>
      <w:r w:rsidR="006143D9" w:rsidRPr="007A0C87">
        <w:rPr>
          <w:rFonts w:ascii="Arial" w:hAnsi="Arial" w:cs="Arial"/>
          <w:vertAlign w:val="subscript"/>
        </w:rPr>
        <w:t>4</w:t>
      </w:r>
      <w:r w:rsidR="006143D9" w:rsidRPr="007A0C87">
        <w:rPr>
          <w:rFonts w:ascii="Arial" w:hAnsi="Arial" w:cs="Arial"/>
        </w:rPr>
        <w:t> (98 at. % </w:t>
      </w:r>
      <w:r w:rsidR="006143D9" w:rsidRPr="007A0C87">
        <w:rPr>
          <w:rFonts w:ascii="Arial" w:hAnsi="Arial" w:cs="Arial"/>
          <w:vertAlign w:val="superscript"/>
        </w:rPr>
        <w:t>15</w:t>
      </w:r>
      <w:r w:rsidR="006143D9" w:rsidRPr="007A0C87">
        <w:rPr>
          <w:rFonts w:ascii="Arial" w:hAnsi="Arial" w:cs="Arial"/>
        </w:rPr>
        <w:t xml:space="preserve">N, Sigma-Aldrich). </w:t>
      </w:r>
      <w:r w:rsidR="002A6B00" w:rsidRPr="007A0C87">
        <w:rPr>
          <w:rFonts w:ascii="Arial" w:hAnsi="Arial" w:cs="Arial"/>
        </w:rPr>
        <w:t xml:space="preserve">The 15N of soils was aimed to </w:t>
      </w:r>
      <w:r w:rsidR="006143D9" w:rsidRPr="007A0C87">
        <w:rPr>
          <w:rFonts w:ascii="Arial" w:hAnsi="Arial" w:cs="Arial"/>
        </w:rPr>
        <w:t>enrich the soil N pool (either NO</w:t>
      </w:r>
      <w:r w:rsidR="006143D9" w:rsidRPr="007A0C87">
        <w:rPr>
          <w:rFonts w:ascii="Arial" w:hAnsi="Arial" w:cs="Arial"/>
          <w:vertAlign w:val="subscript"/>
        </w:rPr>
        <w:t>3</w:t>
      </w:r>
      <w:r w:rsidR="006143D9" w:rsidRPr="007A0C87">
        <w:rPr>
          <w:rFonts w:ascii="Arial" w:hAnsi="Arial" w:cs="Arial"/>
          <w:vertAlign w:val="superscript"/>
        </w:rPr>
        <w:t>−</w:t>
      </w:r>
      <w:r w:rsidR="006143D9" w:rsidRPr="007A0C87">
        <w:rPr>
          <w:rFonts w:ascii="Arial" w:hAnsi="Arial" w:cs="Arial"/>
        </w:rPr>
        <w:t> or NH</w:t>
      </w:r>
      <w:r w:rsidR="006143D9" w:rsidRPr="007A0C87">
        <w:rPr>
          <w:rFonts w:ascii="Arial" w:hAnsi="Arial" w:cs="Arial"/>
          <w:vertAlign w:val="subscript"/>
        </w:rPr>
        <w:t>4</w:t>
      </w:r>
      <w:r w:rsidR="006143D9" w:rsidRPr="007A0C87">
        <w:rPr>
          <w:rFonts w:ascii="Arial" w:hAnsi="Arial" w:cs="Arial"/>
          <w:vertAlign w:val="superscript"/>
        </w:rPr>
        <w:t>+</w:t>
      </w:r>
      <w:r w:rsidR="006143D9" w:rsidRPr="007A0C87">
        <w:rPr>
          <w:rFonts w:ascii="Arial" w:hAnsi="Arial" w:cs="Arial"/>
        </w:rPr>
        <w:t>) up to 20 at%. Immediately after the addition of the </w:t>
      </w:r>
      <w:r w:rsidR="006143D9" w:rsidRPr="007A0C87">
        <w:rPr>
          <w:rFonts w:ascii="Arial" w:hAnsi="Arial" w:cs="Arial"/>
          <w:vertAlign w:val="superscript"/>
        </w:rPr>
        <w:t>15</w:t>
      </w:r>
      <w:r w:rsidR="006143D9" w:rsidRPr="007A0C87">
        <w:rPr>
          <w:rFonts w:ascii="Arial" w:hAnsi="Arial" w:cs="Arial"/>
        </w:rPr>
        <w:t xml:space="preserve">N tracer one replicate of the two for each treatment was extracted with 50 ml 2 M KCl </w:t>
      </w:r>
      <w:r w:rsidR="002A6B00" w:rsidRPr="007A0C87">
        <w:rPr>
          <w:rFonts w:ascii="Arial" w:hAnsi="Arial" w:cs="Arial"/>
        </w:rPr>
        <w:t xml:space="preserve">for </w:t>
      </w:r>
      <w:r w:rsidR="006143D9" w:rsidRPr="007A0C87">
        <w:rPr>
          <w:rFonts w:ascii="Arial" w:hAnsi="Arial" w:cs="Arial"/>
        </w:rPr>
        <w:t>colorimetric analysis for NO</w:t>
      </w:r>
      <w:r w:rsidR="006143D9" w:rsidRPr="007A0C87">
        <w:rPr>
          <w:rFonts w:ascii="Arial" w:hAnsi="Arial" w:cs="Arial"/>
          <w:vertAlign w:val="subscript"/>
        </w:rPr>
        <w:t>3</w:t>
      </w:r>
      <w:r w:rsidR="006143D9" w:rsidRPr="007A0C87">
        <w:rPr>
          <w:rFonts w:ascii="Arial" w:hAnsi="Arial" w:cs="Arial"/>
          <w:vertAlign w:val="superscript"/>
        </w:rPr>
        <w:t>−</w:t>
      </w:r>
      <w:r w:rsidR="006143D9" w:rsidRPr="007A0C87">
        <w:rPr>
          <w:rFonts w:ascii="Arial" w:hAnsi="Arial" w:cs="Arial"/>
        </w:rPr>
        <w:t> and NH</w:t>
      </w:r>
      <w:r w:rsidR="006143D9" w:rsidRPr="007A0C87">
        <w:rPr>
          <w:rFonts w:ascii="Arial" w:hAnsi="Arial" w:cs="Arial"/>
          <w:vertAlign w:val="subscript"/>
        </w:rPr>
        <w:t>4</w:t>
      </w:r>
      <w:r w:rsidR="006143D9" w:rsidRPr="007A0C87">
        <w:rPr>
          <w:rFonts w:ascii="Arial" w:hAnsi="Arial" w:cs="Arial"/>
          <w:vertAlign w:val="superscript"/>
        </w:rPr>
        <w:t>+</w:t>
      </w:r>
      <w:r w:rsidR="006143D9" w:rsidRPr="007A0C87">
        <w:rPr>
          <w:rFonts w:ascii="Arial" w:hAnsi="Arial" w:cs="Arial"/>
        </w:rPr>
        <w:t xml:space="preserve">. The other two labelled replicates were incubated in the dark at 20 °C for 24 h. </w:t>
      </w:r>
      <w:r w:rsidR="002A6B00" w:rsidRPr="007A0C87">
        <w:rPr>
          <w:rFonts w:ascii="Arial" w:hAnsi="Arial" w:cs="Arial"/>
        </w:rPr>
        <w:t>Following incubation, s</w:t>
      </w:r>
      <w:r w:rsidR="006143D9" w:rsidRPr="007A0C87">
        <w:rPr>
          <w:rFonts w:ascii="Arial" w:hAnsi="Arial" w:cs="Arial"/>
        </w:rPr>
        <w:t xml:space="preserve">erum bottles were opened and then extracted in the same way as the </w:t>
      </w:r>
      <w:r w:rsidR="002A6B00" w:rsidRPr="007A0C87">
        <w:rPr>
          <w:rFonts w:ascii="Arial" w:hAnsi="Arial" w:cs="Arial"/>
        </w:rPr>
        <w:t xml:space="preserve">initial </w:t>
      </w:r>
      <w:r w:rsidR="006143D9" w:rsidRPr="007A0C87">
        <w:rPr>
          <w:rFonts w:ascii="Arial" w:hAnsi="Arial" w:cs="Arial"/>
        </w:rPr>
        <w:t>samples. Approximately 40 ml of the 2 M KCl soil extracts were used for the two-step </w:t>
      </w:r>
      <w:r w:rsidR="006143D9" w:rsidRPr="007A0C87">
        <w:rPr>
          <w:rFonts w:ascii="Arial" w:hAnsi="Arial" w:cs="Arial"/>
          <w:vertAlign w:val="superscript"/>
        </w:rPr>
        <w:t>15</w:t>
      </w:r>
      <w:r w:rsidR="006143D9" w:rsidRPr="007A0C87">
        <w:rPr>
          <w:rFonts w:ascii="Arial" w:hAnsi="Arial" w:cs="Arial"/>
        </w:rPr>
        <w:t>N-NH</w:t>
      </w:r>
      <w:r w:rsidR="006143D9" w:rsidRPr="007A0C87">
        <w:rPr>
          <w:rFonts w:ascii="Arial" w:hAnsi="Arial" w:cs="Arial"/>
          <w:vertAlign w:val="subscript"/>
        </w:rPr>
        <w:t>4</w:t>
      </w:r>
      <w:r w:rsidR="006143D9" w:rsidRPr="007A0C87">
        <w:rPr>
          <w:rFonts w:ascii="Arial" w:hAnsi="Arial" w:cs="Arial"/>
          <w:vertAlign w:val="superscript"/>
        </w:rPr>
        <w:t>+</w:t>
      </w:r>
      <w:r w:rsidR="006143D9" w:rsidRPr="007A0C87">
        <w:rPr>
          <w:rFonts w:ascii="Arial" w:hAnsi="Arial" w:cs="Arial"/>
        </w:rPr>
        <w:t> and </w:t>
      </w:r>
      <w:r w:rsidR="006143D9" w:rsidRPr="007A0C87">
        <w:rPr>
          <w:rFonts w:ascii="Arial" w:hAnsi="Arial" w:cs="Arial"/>
          <w:vertAlign w:val="superscript"/>
        </w:rPr>
        <w:t>15</w:t>
      </w:r>
      <w:r w:rsidR="006143D9" w:rsidRPr="007A0C87">
        <w:rPr>
          <w:rFonts w:ascii="Arial" w:hAnsi="Arial" w:cs="Arial"/>
        </w:rPr>
        <w:t>N-NO</w:t>
      </w:r>
      <w:r w:rsidR="006143D9" w:rsidRPr="007A0C87">
        <w:rPr>
          <w:rFonts w:ascii="Arial" w:hAnsi="Arial" w:cs="Arial"/>
          <w:vertAlign w:val="subscript"/>
        </w:rPr>
        <w:t>3</w:t>
      </w:r>
      <w:r w:rsidR="006143D9" w:rsidRPr="007A0C87">
        <w:rPr>
          <w:rFonts w:ascii="Arial" w:hAnsi="Arial" w:cs="Arial"/>
          <w:vertAlign w:val="superscript"/>
        </w:rPr>
        <w:t>−</w:t>
      </w:r>
      <w:r w:rsidR="006143D9" w:rsidRPr="007A0C87">
        <w:rPr>
          <w:rFonts w:ascii="Arial" w:hAnsi="Arial" w:cs="Arial"/>
        </w:rPr>
        <w:t>diffusion procedure</w:t>
      </w:r>
      <w:r w:rsidR="002A6B00" w:rsidRPr="007A0C87">
        <w:rPr>
          <w:rFonts w:ascii="Arial" w:hAnsi="Arial" w:cs="Arial"/>
        </w:rPr>
        <w:t>. A</w:t>
      </w:r>
      <w:r w:rsidR="006143D9" w:rsidRPr="007A0C87">
        <w:rPr>
          <w:rFonts w:ascii="Arial" w:hAnsi="Arial" w:cs="Arial"/>
        </w:rPr>
        <w:t xml:space="preserve"> 0.2 μm Teflon membrane</w:t>
      </w:r>
      <w:r w:rsidR="002A6B00" w:rsidRPr="007A0C87">
        <w:rPr>
          <w:rFonts w:ascii="Arial" w:hAnsi="Arial" w:cs="Arial"/>
        </w:rPr>
        <w:t xml:space="preserve"> enclosing a piece of No. 42 filter paper (acidified) </w:t>
      </w:r>
      <w:r w:rsidR="006143D9" w:rsidRPr="007A0C87">
        <w:rPr>
          <w:rFonts w:ascii="Arial" w:hAnsi="Arial" w:cs="Arial"/>
        </w:rPr>
        <w:t xml:space="preserve"> was then left to float on the surface of the soil extract within each gas-tight diffusion cup during the 6-day diffusion period. The diffusion filter disks were analysed for </w:t>
      </w:r>
      <w:r w:rsidR="006143D9" w:rsidRPr="007A0C87">
        <w:rPr>
          <w:rFonts w:ascii="Arial" w:hAnsi="Arial" w:cs="Arial"/>
          <w:vertAlign w:val="superscript"/>
        </w:rPr>
        <w:t>15</w:t>
      </w:r>
      <w:r w:rsidR="006143D9" w:rsidRPr="007A0C87">
        <w:rPr>
          <w:rFonts w:ascii="Arial" w:hAnsi="Arial" w:cs="Arial"/>
        </w:rPr>
        <w:t xml:space="preserve">N content using the EA-IRMS </w:t>
      </w:r>
      <w:r w:rsidRPr="007A0C87">
        <w:rPr>
          <w:rFonts w:ascii="Arial" w:hAnsi="Arial" w:cs="Arial"/>
        </w:rPr>
        <w:t>set-up</w:t>
      </w:r>
      <w:r w:rsidR="006359A3" w:rsidRPr="007A0C87">
        <w:rPr>
          <w:rFonts w:ascii="Arial" w:hAnsi="Arial" w:cs="Arial"/>
        </w:rPr>
        <w:t xml:space="preserve">. </w:t>
      </w:r>
    </w:p>
    <w:p w14:paraId="1D8D263A" w14:textId="6D0F1F2E" w:rsidR="006359A3" w:rsidRPr="007A0C87" w:rsidRDefault="006359A3" w:rsidP="003B4C6D">
      <w:pPr>
        <w:jc w:val="both"/>
        <w:rPr>
          <w:rFonts w:ascii="Arial" w:hAnsi="Arial" w:cs="Arial"/>
        </w:rPr>
      </w:pPr>
      <w:r w:rsidRPr="007A0C87">
        <w:rPr>
          <w:rFonts w:ascii="Arial" w:hAnsi="Arial" w:cs="Arial"/>
        </w:rPr>
        <w:t>The recovered filter disks were enclosed in tin capsules and analysed for elemental C &amp; N contents as well as </w:t>
      </w:r>
      <w:r w:rsidRPr="007A0C87">
        <w:rPr>
          <w:rFonts w:ascii="Arial" w:hAnsi="Arial" w:cs="Arial"/>
          <w:i/>
          <w:iCs/>
        </w:rPr>
        <w:t>δ</w:t>
      </w:r>
      <w:r w:rsidRPr="007A0C87">
        <w:rPr>
          <w:rFonts w:ascii="Arial" w:hAnsi="Arial" w:cs="Arial"/>
          <w:vertAlign w:val="superscript"/>
        </w:rPr>
        <w:t>15</w:t>
      </w:r>
      <w:r w:rsidRPr="007A0C87">
        <w:rPr>
          <w:rFonts w:ascii="Arial" w:hAnsi="Arial" w:cs="Arial"/>
        </w:rPr>
        <w:t>N and </w:t>
      </w:r>
      <w:r w:rsidRPr="007A0C87">
        <w:rPr>
          <w:rFonts w:ascii="Arial" w:hAnsi="Arial" w:cs="Arial"/>
          <w:i/>
          <w:iCs/>
        </w:rPr>
        <w:t>δ</w:t>
      </w:r>
      <w:r w:rsidRPr="007A0C87">
        <w:rPr>
          <w:rFonts w:ascii="Arial" w:hAnsi="Arial" w:cs="Arial"/>
          <w:vertAlign w:val="superscript"/>
        </w:rPr>
        <w:t>13</w:t>
      </w:r>
      <w:r w:rsidRPr="007A0C87">
        <w:rPr>
          <w:rFonts w:ascii="Arial" w:hAnsi="Arial" w:cs="Arial"/>
        </w:rPr>
        <w:t>C stable isotopes via a continuous flow </w:t>
      </w:r>
      <w:hyperlink r:id="rId14" w:tooltip="Learn more about isotope ratio from ScienceDirect's AI-generated Topic Pages" w:history="1">
        <w:r w:rsidRPr="007A0C87">
          <w:rPr>
            <w:rStyle w:val="Hyperlink"/>
            <w:rFonts w:ascii="Arial" w:hAnsi="Arial" w:cs="Arial"/>
          </w:rPr>
          <w:t>isotope ratio</w:t>
        </w:r>
      </w:hyperlink>
      <w:r w:rsidRPr="007A0C87">
        <w:rPr>
          <w:rFonts w:ascii="Arial" w:hAnsi="Arial" w:cs="Arial"/>
        </w:rPr>
        <w:t> mass spectrometer (Elementar Isoprime Precision; Elementar Analysensysteme GmbH, Hanau, Germany) coupled with an elemental analyser (EA) inlet (vario PYRO cube; Elementar Analysensysteme GmbH, Hanau, Germany). The EA was calibrated with </w:t>
      </w:r>
      <w:hyperlink r:id="rId15" w:tooltip="Learn more about sulfanilamide from ScienceDirect's AI-generated Topic Pages" w:history="1">
        <w:r w:rsidRPr="007A0C87">
          <w:rPr>
            <w:rStyle w:val="Hyperlink"/>
            <w:rFonts w:ascii="Arial" w:hAnsi="Arial" w:cs="Arial"/>
          </w:rPr>
          <w:t>sulfanilamide</w:t>
        </w:r>
      </w:hyperlink>
      <w:r w:rsidRPr="007A0C87">
        <w:rPr>
          <w:rFonts w:ascii="Arial" w:hAnsi="Arial" w:cs="Arial"/>
        </w:rPr>
        <w:t xml:space="preserve"> (N: 16.26%, C:41.81%, S: 18.62%) and the precision as </w:t>
      </w:r>
      <w:r w:rsidR="008D6072" w:rsidRPr="007A0C87">
        <w:rPr>
          <w:rFonts w:ascii="Arial" w:hAnsi="Arial" w:cs="Arial"/>
        </w:rPr>
        <w:t>an</w:t>
      </w:r>
      <w:r w:rsidRPr="007A0C87">
        <w:rPr>
          <w:rFonts w:ascii="Arial" w:hAnsi="Arial" w:cs="Arial"/>
        </w:rPr>
        <w:t xml:space="preserve"> RSD was &lt;5% for both C and N. The IRMS was calibrated against international reference standards (caffeine: USGS61 (−2.87‰ </w:t>
      </w:r>
      <w:r w:rsidRPr="007A0C87">
        <w:rPr>
          <w:rFonts w:ascii="Arial" w:hAnsi="Arial" w:cs="Arial"/>
          <w:i/>
          <w:iCs/>
        </w:rPr>
        <w:t>δ</w:t>
      </w:r>
      <w:r w:rsidRPr="007A0C87">
        <w:rPr>
          <w:rFonts w:ascii="Arial" w:hAnsi="Arial" w:cs="Arial"/>
          <w:vertAlign w:val="superscript"/>
        </w:rPr>
        <w:t>15</w:t>
      </w:r>
      <w:r w:rsidRPr="007A0C87">
        <w:rPr>
          <w:rFonts w:ascii="Arial" w:hAnsi="Arial" w:cs="Arial"/>
        </w:rPr>
        <w:t>N, −35.05‰ </w:t>
      </w:r>
      <w:r w:rsidRPr="007A0C87">
        <w:rPr>
          <w:rFonts w:ascii="Arial" w:hAnsi="Arial" w:cs="Arial"/>
          <w:i/>
          <w:iCs/>
        </w:rPr>
        <w:t>δ</w:t>
      </w:r>
      <w:r w:rsidRPr="007A0C87">
        <w:rPr>
          <w:rFonts w:ascii="Arial" w:hAnsi="Arial" w:cs="Arial"/>
          <w:vertAlign w:val="superscript"/>
        </w:rPr>
        <w:t>13</w:t>
      </w:r>
      <w:r w:rsidRPr="007A0C87">
        <w:rPr>
          <w:rFonts w:ascii="Arial" w:hAnsi="Arial" w:cs="Arial"/>
        </w:rPr>
        <w:t>C VPDB), USGS62 (20.17‰ </w:t>
      </w:r>
      <w:r w:rsidRPr="007A0C87">
        <w:rPr>
          <w:rFonts w:ascii="Arial" w:hAnsi="Arial" w:cs="Arial"/>
          <w:i/>
          <w:iCs/>
        </w:rPr>
        <w:t>δ</w:t>
      </w:r>
      <w:r w:rsidRPr="007A0C87">
        <w:rPr>
          <w:rFonts w:ascii="Arial" w:hAnsi="Arial" w:cs="Arial"/>
          <w:vertAlign w:val="superscript"/>
        </w:rPr>
        <w:t>15</w:t>
      </w:r>
      <w:r w:rsidRPr="007A0C87">
        <w:rPr>
          <w:rFonts w:ascii="Arial" w:hAnsi="Arial" w:cs="Arial"/>
        </w:rPr>
        <w:t>N, −14.79‰ </w:t>
      </w:r>
      <w:r w:rsidRPr="007A0C87">
        <w:rPr>
          <w:rFonts w:ascii="Arial" w:hAnsi="Arial" w:cs="Arial"/>
          <w:i/>
          <w:iCs/>
        </w:rPr>
        <w:t>δ</w:t>
      </w:r>
      <w:r w:rsidRPr="007A0C87">
        <w:rPr>
          <w:rFonts w:ascii="Arial" w:hAnsi="Arial" w:cs="Arial"/>
          <w:vertAlign w:val="superscript"/>
        </w:rPr>
        <w:t>13</w:t>
      </w:r>
      <w:r w:rsidRPr="007A0C87">
        <w:rPr>
          <w:rFonts w:ascii="Arial" w:hAnsi="Arial" w:cs="Arial"/>
        </w:rPr>
        <w:t>C VPDB), USGS63 (37.83‰ </w:t>
      </w:r>
      <w:r w:rsidRPr="007A0C87">
        <w:rPr>
          <w:rFonts w:ascii="Arial" w:hAnsi="Arial" w:cs="Arial"/>
          <w:i/>
          <w:iCs/>
        </w:rPr>
        <w:t>δ</w:t>
      </w:r>
      <w:r w:rsidRPr="007A0C87">
        <w:rPr>
          <w:rFonts w:ascii="Arial" w:hAnsi="Arial" w:cs="Arial"/>
          <w:vertAlign w:val="superscript"/>
        </w:rPr>
        <w:t>15</w:t>
      </w:r>
      <w:r w:rsidRPr="007A0C87">
        <w:rPr>
          <w:rFonts w:ascii="Arial" w:hAnsi="Arial" w:cs="Arial"/>
        </w:rPr>
        <w:t>N −1.17‰ </w:t>
      </w:r>
      <w:r w:rsidRPr="007A0C87">
        <w:rPr>
          <w:rFonts w:ascii="Arial" w:hAnsi="Arial" w:cs="Arial"/>
          <w:i/>
          <w:iCs/>
        </w:rPr>
        <w:t>δ</w:t>
      </w:r>
      <w:r w:rsidRPr="007A0C87">
        <w:rPr>
          <w:rFonts w:ascii="Arial" w:hAnsi="Arial" w:cs="Arial"/>
          <w:vertAlign w:val="superscript"/>
        </w:rPr>
        <w:t>13</w:t>
      </w:r>
      <w:r w:rsidRPr="007A0C87">
        <w:rPr>
          <w:rFonts w:ascii="Arial" w:hAnsi="Arial" w:cs="Arial"/>
        </w:rPr>
        <w:t>C VPDB) and the precision as a standard deviation (SD) was &lt;0.06‰ for both </w:t>
      </w:r>
      <w:r w:rsidRPr="007A0C87">
        <w:rPr>
          <w:rFonts w:ascii="Arial" w:hAnsi="Arial" w:cs="Arial"/>
          <w:i/>
          <w:iCs/>
        </w:rPr>
        <w:t>δ</w:t>
      </w:r>
      <w:r w:rsidRPr="007A0C87">
        <w:rPr>
          <w:rFonts w:ascii="Arial" w:hAnsi="Arial" w:cs="Arial"/>
          <w:vertAlign w:val="superscript"/>
        </w:rPr>
        <w:t>15</w:t>
      </w:r>
      <w:r w:rsidRPr="007A0C87">
        <w:rPr>
          <w:rFonts w:ascii="Arial" w:hAnsi="Arial" w:cs="Arial"/>
        </w:rPr>
        <w:t>N and </w:t>
      </w:r>
      <w:r w:rsidRPr="007A0C87">
        <w:rPr>
          <w:rFonts w:ascii="Arial" w:hAnsi="Arial" w:cs="Arial"/>
          <w:i/>
          <w:iCs/>
        </w:rPr>
        <w:t>δ</w:t>
      </w:r>
      <w:r w:rsidRPr="007A0C87">
        <w:rPr>
          <w:rFonts w:ascii="Arial" w:hAnsi="Arial" w:cs="Arial"/>
          <w:vertAlign w:val="superscript"/>
        </w:rPr>
        <w:t>13</w:t>
      </w:r>
      <w:r w:rsidRPr="007A0C87">
        <w:rPr>
          <w:rFonts w:ascii="Arial" w:hAnsi="Arial" w:cs="Arial"/>
        </w:rPr>
        <w:t xml:space="preserve">C stable isotopes (Sgouridis et al. 2023). </w:t>
      </w:r>
    </w:p>
    <w:p w14:paraId="61BEE0BC" w14:textId="77777777" w:rsidR="00BC1B4B" w:rsidRPr="007A0C87" w:rsidRDefault="00BC1B4B" w:rsidP="002A6B00">
      <w:pPr>
        <w:jc w:val="both"/>
        <w:rPr>
          <w:rFonts w:ascii="Arial" w:hAnsi="Arial" w:cs="Arial"/>
        </w:rPr>
      </w:pPr>
      <w:r w:rsidRPr="007A0C87">
        <w:rPr>
          <w:rFonts w:ascii="Arial" w:hAnsi="Arial" w:cs="Arial"/>
        </w:rPr>
        <w:br w:type="page"/>
      </w:r>
    </w:p>
    <w:p w14:paraId="0EAFEEC2" w14:textId="1867D0B8" w:rsidR="006359A3" w:rsidRPr="007A0C87" w:rsidRDefault="00BC1B4B" w:rsidP="00BC1B4B">
      <w:pPr>
        <w:rPr>
          <w:rFonts w:ascii="Arial" w:hAnsi="Arial" w:cs="Arial"/>
          <w:b/>
          <w:bCs/>
          <w:u w:val="single"/>
        </w:rPr>
      </w:pPr>
      <w:r w:rsidRPr="007A0C87">
        <w:rPr>
          <w:rFonts w:ascii="Arial" w:hAnsi="Arial" w:cs="Arial"/>
          <w:b/>
          <w:bCs/>
          <w:u w:val="single"/>
        </w:rPr>
        <w:lastRenderedPageBreak/>
        <w:t>Details of data structure:</w:t>
      </w:r>
    </w:p>
    <w:p w14:paraId="52C038C0" w14:textId="01051D87" w:rsidR="00F8500F" w:rsidRPr="007A0C87" w:rsidRDefault="004C1C13" w:rsidP="00F8500F">
      <w:pPr>
        <w:rPr>
          <w:rFonts w:ascii="Arial" w:hAnsi="Arial" w:cs="Arial"/>
        </w:rPr>
      </w:pPr>
      <w:r w:rsidRPr="007A0C87">
        <w:rPr>
          <w:rFonts w:ascii="Arial" w:hAnsi="Arial" w:cs="Arial"/>
        </w:rPr>
        <w:t>The</w:t>
      </w:r>
      <w:r w:rsidR="00BC1B4B" w:rsidRPr="007A0C87">
        <w:rPr>
          <w:rFonts w:ascii="Arial" w:hAnsi="Arial" w:cs="Arial"/>
        </w:rPr>
        <w:t xml:space="preserve"> </w:t>
      </w:r>
      <w:r w:rsidR="00880FA1" w:rsidRPr="007A0C87">
        <w:rPr>
          <w:rFonts w:ascii="Arial" w:hAnsi="Arial" w:cs="Arial"/>
        </w:rPr>
        <w:t>document face-underground-full-eidc_read_me.</w:t>
      </w:r>
      <w:r w:rsidR="002A033F">
        <w:rPr>
          <w:rFonts w:ascii="Arial" w:hAnsi="Arial" w:cs="Arial"/>
        </w:rPr>
        <w:t>docx</w:t>
      </w:r>
      <w:r w:rsidRPr="007A0C87">
        <w:rPr>
          <w:rFonts w:ascii="Arial" w:hAnsi="Arial" w:cs="Arial"/>
        </w:rPr>
        <w:t xml:space="preserve"> comprises seven </w:t>
      </w:r>
      <w:r w:rsidR="002A033F">
        <w:rPr>
          <w:rFonts w:ascii="Arial" w:hAnsi="Arial" w:cs="Arial"/>
        </w:rPr>
        <w:t>tables</w:t>
      </w:r>
      <w:r w:rsidR="00A21ADA" w:rsidRPr="007A0C87">
        <w:rPr>
          <w:rFonts w:ascii="Arial" w:hAnsi="Arial" w:cs="Arial"/>
        </w:rPr>
        <w:t xml:space="preserve"> providing details on the column structure and </w:t>
      </w:r>
      <w:r w:rsidR="00D12280" w:rsidRPr="007A0C87">
        <w:rPr>
          <w:rFonts w:ascii="Arial" w:hAnsi="Arial" w:cs="Arial"/>
        </w:rPr>
        <w:t>describing</w:t>
      </w:r>
      <w:r w:rsidR="00A21ADA" w:rsidRPr="007A0C87">
        <w:rPr>
          <w:rFonts w:ascii="Arial" w:hAnsi="Arial" w:cs="Arial"/>
        </w:rPr>
        <w:t xml:space="preserve"> the variables.</w:t>
      </w:r>
    </w:p>
    <w:p w14:paraId="626FA83E" w14:textId="1E75C272" w:rsidR="00BC1B4B" w:rsidRPr="007A0C87" w:rsidRDefault="001D0ACA" w:rsidP="00A21ADA">
      <w:pPr>
        <w:pStyle w:val="ListParagraph"/>
        <w:numPr>
          <w:ilvl w:val="0"/>
          <w:numId w:val="3"/>
        </w:numPr>
        <w:rPr>
          <w:rFonts w:ascii="Arial" w:hAnsi="Arial" w:cs="Arial"/>
        </w:rPr>
      </w:pPr>
      <w:r w:rsidRPr="007A0C87">
        <w:rPr>
          <w:rFonts w:ascii="Arial" w:hAnsi="Arial" w:cs="Arial"/>
        </w:rPr>
        <w:t>data_am</w:t>
      </w:r>
      <w:r w:rsidR="00DF4E56" w:rsidRPr="007A0C87">
        <w:rPr>
          <w:rFonts w:ascii="Arial" w:hAnsi="Arial" w:cs="Arial"/>
        </w:rPr>
        <w:t>.cs</w:t>
      </w:r>
      <w:r w:rsidR="006511BC">
        <w:rPr>
          <w:rFonts w:ascii="Arial" w:hAnsi="Arial" w:cs="Arial"/>
        </w:rPr>
        <w:t>v</w:t>
      </w:r>
    </w:p>
    <w:p w14:paraId="7C13F22D" w14:textId="26B15B8B" w:rsidR="003A54F0" w:rsidRPr="007A0C87" w:rsidRDefault="00DF4E56" w:rsidP="00A21ADA">
      <w:pPr>
        <w:pStyle w:val="ListParagraph"/>
        <w:numPr>
          <w:ilvl w:val="0"/>
          <w:numId w:val="3"/>
        </w:numPr>
        <w:jc w:val="both"/>
        <w:rPr>
          <w:rFonts w:ascii="Arial" w:hAnsi="Arial" w:cs="Arial"/>
        </w:rPr>
      </w:pPr>
      <w:r w:rsidRPr="007A0C87">
        <w:rPr>
          <w:rFonts w:ascii="Arial" w:hAnsi="Arial" w:cs="Arial"/>
        </w:rPr>
        <w:t>data</w:t>
      </w:r>
      <w:r w:rsidR="00A744CE" w:rsidRPr="007A0C87">
        <w:rPr>
          <w:rFonts w:ascii="Arial" w:hAnsi="Arial" w:cs="Arial"/>
        </w:rPr>
        <w:t>_ecm</w:t>
      </w:r>
      <w:r w:rsidRPr="007A0C87">
        <w:rPr>
          <w:rFonts w:ascii="Arial" w:hAnsi="Arial" w:cs="Arial"/>
        </w:rPr>
        <w:t>.csv</w:t>
      </w:r>
    </w:p>
    <w:p w14:paraId="5CEDA654" w14:textId="7D11ABF3" w:rsidR="00CD3A08" w:rsidRPr="007A0C87" w:rsidRDefault="00DF4E56" w:rsidP="00A21ADA">
      <w:pPr>
        <w:pStyle w:val="ListParagraph"/>
        <w:numPr>
          <w:ilvl w:val="0"/>
          <w:numId w:val="3"/>
        </w:numPr>
        <w:jc w:val="both"/>
        <w:rPr>
          <w:rFonts w:ascii="Arial" w:hAnsi="Arial" w:cs="Arial"/>
        </w:rPr>
      </w:pPr>
      <w:r w:rsidRPr="007A0C87">
        <w:rPr>
          <w:rFonts w:ascii="Arial" w:hAnsi="Arial" w:cs="Arial"/>
        </w:rPr>
        <w:t>data_</w:t>
      </w:r>
      <w:r w:rsidR="00180898" w:rsidRPr="007A0C87">
        <w:rPr>
          <w:rFonts w:ascii="Arial" w:hAnsi="Arial" w:cs="Arial"/>
        </w:rPr>
        <w:t>ecm-turnover.csv</w:t>
      </w:r>
    </w:p>
    <w:p w14:paraId="1C00B1B1" w14:textId="29FE7BEB" w:rsidR="00D820BB" w:rsidRPr="007A0C87" w:rsidRDefault="00180898" w:rsidP="00A21ADA">
      <w:pPr>
        <w:pStyle w:val="ListParagraph"/>
        <w:numPr>
          <w:ilvl w:val="0"/>
          <w:numId w:val="3"/>
        </w:numPr>
        <w:jc w:val="both"/>
        <w:rPr>
          <w:rFonts w:ascii="Arial" w:hAnsi="Arial" w:cs="Arial"/>
        </w:rPr>
      </w:pPr>
      <w:r w:rsidRPr="007A0C87">
        <w:rPr>
          <w:rFonts w:ascii="Arial" w:hAnsi="Arial" w:cs="Arial"/>
        </w:rPr>
        <w:t>data_l_decomposition.csv</w:t>
      </w:r>
    </w:p>
    <w:p w14:paraId="29FC6591" w14:textId="22E4BCEA" w:rsidR="00CD3A08" w:rsidRPr="007A0C87" w:rsidRDefault="00024677" w:rsidP="00A21ADA">
      <w:pPr>
        <w:pStyle w:val="ListParagraph"/>
        <w:numPr>
          <w:ilvl w:val="0"/>
          <w:numId w:val="3"/>
        </w:numPr>
        <w:jc w:val="both"/>
        <w:rPr>
          <w:rFonts w:ascii="Arial" w:hAnsi="Arial" w:cs="Arial"/>
        </w:rPr>
      </w:pPr>
      <w:r w:rsidRPr="007A0C87">
        <w:rPr>
          <w:rFonts w:ascii="Arial" w:hAnsi="Arial" w:cs="Arial"/>
        </w:rPr>
        <w:t>n_mineralization_data.cs</w:t>
      </w:r>
      <w:r w:rsidR="00256D3B" w:rsidRPr="007A0C87">
        <w:rPr>
          <w:rFonts w:ascii="Arial" w:hAnsi="Arial" w:cs="Arial"/>
        </w:rPr>
        <w:t>v</w:t>
      </w:r>
    </w:p>
    <w:p w14:paraId="2828E1B4" w14:textId="3C302EFB" w:rsidR="00D820BB" w:rsidRPr="007A0C87" w:rsidRDefault="00024677" w:rsidP="00A21ADA">
      <w:pPr>
        <w:pStyle w:val="ListParagraph"/>
        <w:numPr>
          <w:ilvl w:val="0"/>
          <w:numId w:val="3"/>
        </w:numPr>
        <w:jc w:val="both"/>
        <w:rPr>
          <w:rFonts w:ascii="Arial" w:hAnsi="Arial" w:cs="Arial"/>
        </w:rPr>
      </w:pPr>
      <w:r w:rsidRPr="007A0C87">
        <w:rPr>
          <w:rFonts w:ascii="Arial" w:hAnsi="Arial" w:cs="Arial"/>
        </w:rPr>
        <w:t xml:space="preserve">file </w:t>
      </w:r>
      <w:r w:rsidR="00256D3B" w:rsidRPr="007A0C87">
        <w:rPr>
          <w:rFonts w:ascii="Arial" w:hAnsi="Arial" w:cs="Arial"/>
        </w:rPr>
        <w:t>root_exudation_data.csv</w:t>
      </w:r>
    </w:p>
    <w:p w14:paraId="5E84E59C" w14:textId="74180D0D" w:rsidR="007F0D64" w:rsidRPr="007A0C87" w:rsidRDefault="006C0B22" w:rsidP="00A21ADA">
      <w:pPr>
        <w:pStyle w:val="ListParagraph"/>
        <w:numPr>
          <w:ilvl w:val="0"/>
          <w:numId w:val="3"/>
        </w:numPr>
        <w:jc w:val="both"/>
        <w:rPr>
          <w:rFonts w:ascii="Arial" w:hAnsi="Arial" w:cs="Arial"/>
        </w:rPr>
      </w:pPr>
      <w:r w:rsidRPr="007A0C87">
        <w:rPr>
          <w:rFonts w:ascii="Arial" w:hAnsi="Arial" w:cs="Arial"/>
        </w:rPr>
        <w:t>root_uptake_</w:t>
      </w:r>
      <w:r w:rsidR="00AB71A3" w:rsidRPr="007A0C87">
        <w:rPr>
          <w:rFonts w:ascii="Arial" w:hAnsi="Arial" w:cs="Arial"/>
        </w:rPr>
        <w:t>data.csv</w:t>
      </w:r>
    </w:p>
    <w:p w14:paraId="1C96560A" w14:textId="3C4A719A" w:rsidR="000577A9" w:rsidRPr="007A0C87" w:rsidRDefault="008D30BF" w:rsidP="008D30BF">
      <w:pPr>
        <w:jc w:val="both"/>
        <w:rPr>
          <w:rFonts w:ascii="Arial" w:hAnsi="Arial" w:cs="Arial"/>
        </w:rPr>
      </w:pPr>
      <w:r w:rsidRPr="007A0C87">
        <w:rPr>
          <w:rFonts w:ascii="Arial" w:hAnsi="Arial" w:cs="Arial"/>
        </w:rPr>
        <w:t xml:space="preserve">Abbreviation </w:t>
      </w:r>
      <w:r w:rsidR="003C632E" w:rsidRPr="007A0C87">
        <w:rPr>
          <w:rFonts w:ascii="Arial" w:hAnsi="Arial" w:cs="Arial"/>
        </w:rPr>
        <w:t xml:space="preserve">na  - </w:t>
      </w:r>
      <w:r w:rsidR="007C4D74" w:rsidRPr="007A0C87">
        <w:rPr>
          <w:rFonts w:ascii="Arial" w:hAnsi="Arial" w:cs="Arial"/>
        </w:rPr>
        <w:t>not applicable</w:t>
      </w:r>
    </w:p>
    <w:p w14:paraId="3891BAB0" w14:textId="4C7A9172" w:rsidR="000577A9" w:rsidRPr="007A0C87" w:rsidRDefault="000577A9" w:rsidP="000577A9">
      <w:pPr>
        <w:rPr>
          <w:rFonts w:ascii="Arial" w:hAnsi="Arial" w:cs="Arial"/>
          <w:b/>
          <w:bCs/>
          <w:u w:val="single"/>
        </w:rPr>
      </w:pPr>
      <w:r w:rsidRPr="007A0C87">
        <w:rPr>
          <w:rFonts w:ascii="Arial" w:hAnsi="Arial" w:cs="Arial"/>
          <w:b/>
          <w:bCs/>
          <w:u w:val="single"/>
        </w:rPr>
        <w:t>Quality control</w:t>
      </w:r>
    </w:p>
    <w:p w14:paraId="2392BE9F" w14:textId="1F2D0CDD" w:rsidR="000577A9" w:rsidRPr="007A0C87" w:rsidRDefault="006D4713" w:rsidP="00DC3FC5">
      <w:pPr>
        <w:jc w:val="both"/>
        <w:rPr>
          <w:rFonts w:ascii="Arial" w:hAnsi="Arial" w:cs="Arial"/>
        </w:rPr>
      </w:pPr>
      <w:r>
        <w:rPr>
          <w:rFonts w:ascii="Arial" w:hAnsi="Arial" w:cs="Arial"/>
        </w:rPr>
        <w:t>The analysis of all samples followed standard quality control and quality assurance protocols. Standard calibration and analysis of reference materials where applicable (see details above under each variable) were undertaken to ensure precision of analysis (&lt;10% and drift correction.  Extractable nutrient</w:t>
      </w:r>
      <w:r w:rsidR="00DC3FC5">
        <w:rPr>
          <w:rFonts w:ascii="Arial" w:hAnsi="Arial" w:cs="Arial"/>
        </w:rPr>
        <w:t xml:space="preserve"> analysis</w:t>
      </w:r>
      <w:r>
        <w:rPr>
          <w:rFonts w:ascii="Arial" w:hAnsi="Arial" w:cs="Arial"/>
        </w:rPr>
        <w:t xml:space="preserve"> included laboratory blanks with the extractant solution without soil to account for background contamination via colorimetric analysis. </w:t>
      </w:r>
      <w:r w:rsidR="00DC3FC5">
        <w:rPr>
          <w:rFonts w:ascii="Arial" w:hAnsi="Arial" w:cs="Arial"/>
        </w:rPr>
        <w:t xml:space="preserve">The isotopic analysis included calibration of the Elemental Analyser using </w:t>
      </w:r>
      <w:r w:rsidR="00DC3FC5" w:rsidRPr="007A0C87">
        <w:rPr>
          <w:rFonts w:ascii="Arial" w:hAnsi="Arial" w:cs="Arial"/>
        </w:rPr>
        <w:t> </w:t>
      </w:r>
      <w:hyperlink r:id="rId16" w:tooltip="Learn more about sulfanilamide from ScienceDirect's AI-generated Topic Pages" w:history="1">
        <w:r w:rsidR="00DC3FC5" w:rsidRPr="007A0C87">
          <w:rPr>
            <w:rStyle w:val="Hyperlink"/>
            <w:rFonts w:ascii="Arial" w:hAnsi="Arial" w:cs="Arial"/>
          </w:rPr>
          <w:t>sulfanilamide</w:t>
        </w:r>
      </w:hyperlink>
      <w:r w:rsidR="00DC3FC5" w:rsidRPr="007A0C87">
        <w:rPr>
          <w:rFonts w:ascii="Arial" w:hAnsi="Arial" w:cs="Arial"/>
        </w:rPr>
        <w:t> (N: 16.26%, C:41.81%, S: 18.62%) and the precision as an RSD was &lt;5% for both C and N. The IRMS was calibrated against international reference standards (caffeine: USGS61 (−2.87‰ </w:t>
      </w:r>
      <w:r w:rsidR="00DC3FC5" w:rsidRPr="007A0C87">
        <w:rPr>
          <w:rFonts w:ascii="Arial" w:hAnsi="Arial" w:cs="Arial"/>
          <w:i/>
          <w:iCs/>
        </w:rPr>
        <w:t>δ</w:t>
      </w:r>
      <w:r w:rsidR="00DC3FC5" w:rsidRPr="007A0C87">
        <w:rPr>
          <w:rFonts w:ascii="Arial" w:hAnsi="Arial" w:cs="Arial"/>
          <w:vertAlign w:val="superscript"/>
        </w:rPr>
        <w:t>15</w:t>
      </w:r>
      <w:r w:rsidR="00DC3FC5" w:rsidRPr="007A0C87">
        <w:rPr>
          <w:rFonts w:ascii="Arial" w:hAnsi="Arial" w:cs="Arial"/>
        </w:rPr>
        <w:t>N, −35.05‰ </w:t>
      </w:r>
      <w:r w:rsidR="00DC3FC5" w:rsidRPr="007A0C87">
        <w:rPr>
          <w:rFonts w:ascii="Arial" w:hAnsi="Arial" w:cs="Arial"/>
          <w:i/>
          <w:iCs/>
        </w:rPr>
        <w:t>δ</w:t>
      </w:r>
      <w:r w:rsidR="00DC3FC5" w:rsidRPr="007A0C87">
        <w:rPr>
          <w:rFonts w:ascii="Arial" w:hAnsi="Arial" w:cs="Arial"/>
          <w:vertAlign w:val="superscript"/>
        </w:rPr>
        <w:t>13</w:t>
      </w:r>
      <w:r w:rsidR="00DC3FC5" w:rsidRPr="007A0C87">
        <w:rPr>
          <w:rFonts w:ascii="Arial" w:hAnsi="Arial" w:cs="Arial"/>
        </w:rPr>
        <w:t>C VPDB), USGS62 (20.17‰ </w:t>
      </w:r>
      <w:r w:rsidR="00DC3FC5" w:rsidRPr="007A0C87">
        <w:rPr>
          <w:rFonts w:ascii="Arial" w:hAnsi="Arial" w:cs="Arial"/>
          <w:i/>
          <w:iCs/>
        </w:rPr>
        <w:t>δ</w:t>
      </w:r>
      <w:r w:rsidR="00DC3FC5" w:rsidRPr="007A0C87">
        <w:rPr>
          <w:rFonts w:ascii="Arial" w:hAnsi="Arial" w:cs="Arial"/>
          <w:vertAlign w:val="superscript"/>
        </w:rPr>
        <w:t>15</w:t>
      </w:r>
      <w:r w:rsidR="00DC3FC5" w:rsidRPr="007A0C87">
        <w:rPr>
          <w:rFonts w:ascii="Arial" w:hAnsi="Arial" w:cs="Arial"/>
        </w:rPr>
        <w:t>N, −14.79‰ </w:t>
      </w:r>
      <w:r w:rsidR="00DC3FC5" w:rsidRPr="007A0C87">
        <w:rPr>
          <w:rFonts w:ascii="Arial" w:hAnsi="Arial" w:cs="Arial"/>
          <w:i/>
          <w:iCs/>
        </w:rPr>
        <w:t>δ</w:t>
      </w:r>
      <w:r w:rsidR="00DC3FC5" w:rsidRPr="007A0C87">
        <w:rPr>
          <w:rFonts w:ascii="Arial" w:hAnsi="Arial" w:cs="Arial"/>
          <w:vertAlign w:val="superscript"/>
        </w:rPr>
        <w:t>13</w:t>
      </w:r>
      <w:r w:rsidR="00DC3FC5" w:rsidRPr="007A0C87">
        <w:rPr>
          <w:rFonts w:ascii="Arial" w:hAnsi="Arial" w:cs="Arial"/>
        </w:rPr>
        <w:t>C VPDB), USGS63 (37.83‰ </w:t>
      </w:r>
      <w:r w:rsidR="00DC3FC5" w:rsidRPr="007A0C87">
        <w:rPr>
          <w:rFonts w:ascii="Arial" w:hAnsi="Arial" w:cs="Arial"/>
          <w:i/>
          <w:iCs/>
        </w:rPr>
        <w:t>δ</w:t>
      </w:r>
      <w:r w:rsidR="00DC3FC5" w:rsidRPr="007A0C87">
        <w:rPr>
          <w:rFonts w:ascii="Arial" w:hAnsi="Arial" w:cs="Arial"/>
          <w:vertAlign w:val="superscript"/>
        </w:rPr>
        <w:t>15</w:t>
      </w:r>
      <w:r w:rsidR="00DC3FC5" w:rsidRPr="007A0C87">
        <w:rPr>
          <w:rFonts w:ascii="Arial" w:hAnsi="Arial" w:cs="Arial"/>
        </w:rPr>
        <w:t>N −1.17‰ </w:t>
      </w:r>
      <w:r w:rsidR="00DC3FC5" w:rsidRPr="007A0C87">
        <w:rPr>
          <w:rFonts w:ascii="Arial" w:hAnsi="Arial" w:cs="Arial"/>
          <w:i/>
          <w:iCs/>
        </w:rPr>
        <w:t>δ</w:t>
      </w:r>
      <w:r w:rsidR="00DC3FC5" w:rsidRPr="007A0C87">
        <w:rPr>
          <w:rFonts w:ascii="Arial" w:hAnsi="Arial" w:cs="Arial"/>
          <w:vertAlign w:val="superscript"/>
        </w:rPr>
        <w:t>13</w:t>
      </w:r>
      <w:r w:rsidR="00DC3FC5" w:rsidRPr="007A0C87">
        <w:rPr>
          <w:rFonts w:ascii="Arial" w:hAnsi="Arial" w:cs="Arial"/>
        </w:rPr>
        <w:t>C VPDB) and the precision as a standard deviation (SD) was &lt;0.06‰ for both </w:t>
      </w:r>
      <w:r w:rsidR="00DC3FC5" w:rsidRPr="007A0C87">
        <w:rPr>
          <w:rFonts w:ascii="Arial" w:hAnsi="Arial" w:cs="Arial"/>
          <w:i/>
          <w:iCs/>
        </w:rPr>
        <w:t>δ</w:t>
      </w:r>
      <w:r w:rsidR="00DC3FC5" w:rsidRPr="007A0C87">
        <w:rPr>
          <w:rFonts w:ascii="Arial" w:hAnsi="Arial" w:cs="Arial"/>
          <w:vertAlign w:val="superscript"/>
        </w:rPr>
        <w:t>15</w:t>
      </w:r>
      <w:r w:rsidR="00DC3FC5" w:rsidRPr="007A0C87">
        <w:rPr>
          <w:rFonts w:ascii="Arial" w:hAnsi="Arial" w:cs="Arial"/>
        </w:rPr>
        <w:t>N and </w:t>
      </w:r>
      <w:r w:rsidR="00DC3FC5" w:rsidRPr="007A0C87">
        <w:rPr>
          <w:rFonts w:ascii="Arial" w:hAnsi="Arial" w:cs="Arial"/>
          <w:i/>
          <w:iCs/>
        </w:rPr>
        <w:t>δ</w:t>
      </w:r>
      <w:r w:rsidR="00DC3FC5" w:rsidRPr="007A0C87">
        <w:rPr>
          <w:rFonts w:ascii="Arial" w:hAnsi="Arial" w:cs="Arial"/>
          <w:vertAlign w:val="superscript"/>
        </w:rPr>
        <w:t>13</w:t>
      </w:r>
      <w:r w:rsidR="00DC3FC5" w:rsidRPr="007A0C87">
        <w:rPr>
          <w:rFonts w:ascii="Arial" w:hAnsi="Arial" w:cs="Arial"/>
        </w:rPr>
        <w:t>C stable isotopes</w:t>
      </w:r>
      <w:r w:rsidR="00DC3FC5">
        <w:rPr>
          <w:rFonts w:ascii="Arial" w:hAnsi="Arial" w:cs="Arial"/>
        </w:rPr>
        <w:t>. For enzyme analysis, b</w:t>
      </w:r>
      <w:r w:rsidR="00DC3FC5" w:rsidRPr="007A0C87">
        <w:rPr>
          <w:rFonts w:ascii="Arial" w:hAnsi="Arial" w:cs="Arial"/>
        </w:rPr>
        <w:t>lank wells received 50 μl of acetate buffer and 200 μl of soil suspension and negative control wells received 50 μl of substrate and 200 μl of acetate buffe</w:t>
      </w:r>
      <w:r w:rsidR="00DC3FC5">
        <w:rPr>
          <w:rFonts w:ascii="Arial" w:hAnsi="Arial" w:cs="Arial"/>
        </w:rPr>
        <w:t xml:space="preserve">r for blank correction. </w:t>
      </w:r>
    </w:p>
    <w:bookmarkEnd w:id="1"/>
    <w:p w14:paraId="0447D4B7" w14:textId="1C265FA5" w:rsidR="00EC1263" w:rsidRPr="007A0C87" w:rsidRDefault="004B4B2E">
      <w:pPr>
        <w:rPr>
          <w:rFonts w:ascii="Arial" w:hAnsi="Arial" w:cs="Arial"/>
          <w:b/>
          <w:bCs/>
          <w:u w:val="single"/>
        </w:rPr>
      </w:pPr>
      <w:r w:rsidRPr="007A0C87">
        <w:rPr>
          <w:rFonts w:ascii="Arial" w:hAnsi="Arial" w:cs="Arial"/>
          <w:b/>
          <w:bCs/>
          <w:u w:val="single"/>
        </w:rPr>
        <w:t>REFERENCES</w:t>
      </w:r>
    </w:p>
    <w:p w14:paraId="46764590" w14:textId="77777777" w:rsidR="00DC3FC5" w:rsidRPr="007A0C87" w:rsidRDefault="00DC3FC5" w:rsidP="00890701">
      <w:pPr>
        <w:pStyle w:val="ListParagraph"/>
        <w:numPr>
          <w:ilvl w:val="0"/>
          <w:numId w:val="2"/>
        </w:numPr>
        <w:rPr>
          <w:rFonts w:ascii="Arial" w:hAnsi="Arial" w:cs="Arial"/>
        </w:rPr>
      </w:pPr>
      <w:r w:rsidRPr="007A0C87">
        <w:rPr>
          <w:rFonts w:ascii="Arial" w:hAnsi="Arial" w:cs="Arial"/>
        </w:rPr>
        <w:t>BGS. (2018). BGS geology DiGMapGB. Retrieved from </w:t>
      </w:r>
      <w:hyperlink r:id="rId17" w:history="1">
        <w:r w:rsidRPr="007A0C87">
          <w:rPr>
            <w:rStyle w:val="Hyperlink"/>
            <w:rFonts w:ascii="Arial" w:hAnsi="Arial" w:cs="Arial"/>
            <w:b/>
            <w:bCs/>
          </w:rPr>
          <w:t>http://mapapps.bgs.ac.uk/geologyofbritain/home.html</w:t>
        </w:r>
      </w:hyperlink>
    </w:p>
    <w:p w14:paraId="42578D17" w14:textId="77777777" w:rsidR="00DC3FC5" w:rsidRPr="007A0C87" w:rsidRDefault="00DC3FC5" w:rsidP="00890701">
      <w:pPr>
        <w:pStyle w:val="ListParagraph"/>
        <w:numPr>
          <w:ilvl w:val="0"/>
          <w:numId w:val="2"/>
        </w:numPr>
        <w:rPr>
          <w:rFonts w:ascii="Arial" w:hAnsi="Arial" w:cs="Arial"/>
        </w:rPr>
      </w:pPr>
      <w:r w:rsidRPr="007A0C87">
        <w:rPr>
          <w:rFonts w:ascii="Arial" w:eastAsia="Times New Roman" w:hAnsi="Arial" w:cs="Arial"/>
        </w:rPr>
        <w:t xml:space="preserve">Ekblad, A., Mikusinska, A., Ågren, G. I., Menichetti, L., Wallander, H., Vilgalys, R., Bahr, A., &amp; Eriksson, U. 2016. Production and turnover of ectomycorrhizal extramatrical mycelial biomass and necromass under elevated CO2 and nitrogen fertilization. </w:t>
      </w:r>
      <w:r w:rsidRPr="007A0C87">
        <w:rPr>
          <w:rFonts w:ascii="Arial" w:eastAsia="Times New Roman" w:hAnsi="Arial" w:cs="Arial"/>
          <w:i/>
          <w:iCs/>
        </w:rPr>
        <w:t>New Phytologist</w:t>
      </w:r>
      <w:r w:rsidRPr="007A0C87">
        <w:rPr>
          <w:rFonts w:ascii="Arial" w:eastAsia="Times New Roman" w:hAnsi="Arial" w:cs="Arial"/>
        </w:rPr>
        <w:t xml:space="preserve">, </w:t>
      </w:r>
      <w:r w:rsidRPr="007A0C87">
        <w:rPr>
          <w:rFonts w:ascii="Arial" w:eastAsia="Times New Roman" w:hAnsi="Arial" w:cs="Arial"/>
          <w:i/>
          <w:iCs/>
        </w:rPr>
        <w:t>211</w:t>
      </w:r>
      <w:r w:rsidRPr="007A0C87">
        <w:rPr>
          <w:rFonts w:ascii="Arial" w:eastAsia="Times New Roman" w:hAnsi="Arial" w:cs="Arial"/>
        </w:rPr>
        <w:t xml:space="preserve">(3), 874–885. </w:t>
      </w:r>
      <w:hyperlink r:id="rId18" w:history="1">
        <w:r w:rsidRPr="00287455">
          <w:rPr>
            <w:rStyle w:val="Hyperlink"/>
            <w:rFonts w:ascii="Arial" w:eastAsia="Times New Roman" w:hAnsi="Arial" w:cs="Arial"/>
          </w:rPr>
          <w:t>https://doi.org/10.1111/NPH.13961</w:t>
        </w:r>
      </w:hyperlink>
    </w:p>
    <w:p w14:paraId="33CC74C9" w14:textId="50FB1A20" w:rsidR="00DC3FC5" w:rsidRPr="007A0C87" w:rsidRDefault="00DC3FC5" w:rsidP="00890701">
      <w:pPr>
        <w:pStyle w:val="ListParagraph"/>
        <w:numPr>
          <w:ilvl w:val="0"/>
          <w:numId w:val="2"/>
        </w:numPr>
        <w:rPr>
          <w:rFonts w:ascii="Arial" w:hAnsi="Arial" w:cs="Arial"/>
        </w:rPr>
      </w:pPr>
      <w:r w:rsidRPr="007A0C87">
        <w:rPr>
          <w:rFonts w:ascii="Arial" w:hAnsi="Arial" w:cs="Arial"/>
        </w:rPr>
        <w:t xml:space="preserve">Hart, K. M., G. Curioni, P. Blaen, N.J. Harper, P. Miles, K.F. Lewin, J. Nagy, E.J. Bannister, X.M. Cai, R.M. Thomas, S. Krause, M. Tausz, A.R. MacKenzie. (2020). Characteristics of free air carbon dioxide enrichment of a northern temperate mature forest, </w:t>
      </w:r>
      <w:r w:rsidR="006511BC">
        <w:rPr>
          <w:rFonts w:ascii="Arial" w:hAnsi="Arial" w:cs="Arial"/>
          <w:i/>
          <w:iCs/>
        </w:rPr>
        <w:t>G</w:t>
      </w:r>
      <w:r w:rsidR="006511BC" w:rsidRPr="007A0C87">
        <w:rPr>
          <w:rFonts w:ascii="Arial" w:hAnsi="Arial" w:cs="Arial"/>
          <w:i/>
          <w:iCs/>
        </w:rPr>
        <w:t xml:space="preserve">lobal </w:t>
      </w:r>
      <w:r w:rsidR="006511BC">
        <w:rPr>
          <w:rFonts w:ascii="Arial" w:hAnsi="Arial" w:cs="Arial"/>
          <w:i/>
          <w:iCs/>
        </w:rPr>
        <w:t>C</w:t>
      </w:r>
      <w:r w:rsidR="006511BC" w:rsidRPr="007A0C87">
        <w:rPr>
          <w:rFonts w:ascii="Arial" w:hAnsi="Arial" w:cs="Arial"/>
          <w:i/>
          <w:iCs/>
        </w:rPr>
        <w:t xml:space="preserve">hange </w:t>
      </w:r>
      <w:r w:rsidR="006511BC">
        <w:rPr>
          <w:rFonts w:ascii="Arial" w:hAnsi="Arial" w:cs="Arial"/>
          <w:i/>
          <w:iCs/>
        </w:rPr>
        <w:t>B</w:t>
      </w:r>
      <w:r w:rsidR="006511BC" w:rsidRPr="007A0C87">
        <w:rPr>
          <w:rFonts w:ascii="Arial" w:hAnsi="Arial" w:cs="Arial"/>
          <w:i/>
          <w:iCs/>
        </w:rPr>
        <w:t>iology</w:t>
      </w:r>
      <w:r w:rsidRPr="007A0C87">
        <w:rPr>
          <w:rFonts w:ascii="Arial" w:hAnsi="Arial" w:cs="Arial"/>
        </w:rPr>
        <w:t xml:space="preserve">, 26, pp. 1023-1037, </w:t>
      </w:r>
      <w:hyperlink r:id="rId19" w:history="1">
        <w:r w:rsidRPr="007A0C87">
          <w:rPr>
            <w:rStyle w:val="Hyperlink"/>
            <w:rFonts w:ascii="Arial" w:hAnsi="Arial" w:cs="Arial"/>
          </w:rPr>
          <w:t>https://doi.org/10.1111/gcb.14786</w:t>
        </w:r>
      </w:hyperlink>
    </w:p>
    <w:p w14:paraId="327748AE" w14:textId="24C3F5D3" w:rsidR="00EA1994" w:rsidRPr="00EA1994" w:rsidRDefault="00EA1994" w:rsidP="00EA1994">
      <w:pPr>
        <w:pStyle w:val="ListParagraph"/>
        <w:numPr>
          <w:ilvl w:val="0"/>
          <w:numId w:val="2"/>
        </w:numPr>
        <w:rPr>
          <w:rFonts w:ascii="Arial" w:hAnsi="Arial" w:cs="Arial"/>
          <w:lang w:bidi="en-GB"/>
        </w:rPr>
      </w:pPr>
      <w:r w:rsidRPr="00EA1994">
        <w:rPr>
          <w:rFonts w:ascii="Arial" w:hAnsi="Arial" w:cs="Arial"/>
          <w:lang w:bidi="en-GB"/>
        </w:rPr>
        <w:t>Hollis, J., Jones, B., Ullah, S., Mackenzie, R., J. Curioni, &amp; Hart, K. (2021). Soil Profile Pit at BIFoR-FACE, Norbury Junction, Staffordshire. 37. DoI: 10.25500/edata.bham.00000706</w:t>
      </w:r>
      <w:r>
        <w:rPr>
          <w:rFonts w:ascii="Arial" w:hAnsi="Arial" w:cs="Arial"/>
          <w:lang w:bidi="en-GB"/>
        </w:rPr>
        <w:t xml:space="preserve"> </w:t>
      </w:r>
      <w:hyperlink r:id="rId20" w:history="1">
        <w:r w:rsidRPr="00BF7DC3">
          <w:rPr>
            <w:rStyle w:val="Hyperlink"/>
            <w:rFonts w:ascii="Arial" w:hAnsi="Arial" w:cs="Arial"/>
            <w:lang w:bidi="en-GB"/>
          </w:rPr>
          <w:t>https://doi.org/10.25500/edata.bham.00000706</w:t>
        </w:r>
      </w:hyperlink>
    </w:p>
    <w:p w14:paraId="45A91D29" w14:textId="59B991B3" w:rsidR="00DC3FC5" w:rsidRPr="007A0C87" w:rsidRDefault="00DC3FC5" w:rsidP="008D6072">
      <w:pPr>
        <w:pStyle w:val="ListParagraph"/>
        <w:numPr>
          <w:ilvl w:val="0"/>
          <w:numId w:val="2"/>
        </w:numPr>
        <w:rPr>
          <w:rFonts w:ascii="Arial" w:hAnsi="Arial" w:cs="Arial"/>
          <w:lang w:bidi="en-GB"/>
        </w:rPr>
      </w:pPr>
      <w:r w:rsidRPr="007A0C87">
        <w:rPr>
          <w:rFonts w:ascii="Arial" w:hAnsi="Arial" w:cs="Arial"/>
          <w:lang w:bidi="en-GB"/>
        </w:rPr>
        <w:t>Rumeau, Manon, Fotis Sgouridis, Rob MacKenzie, Yolima Carrillo, Michaela K. Reay, Ian P. Hartley, Sami Ullah. (2024). The role of rhizosphere in enhancing N availability in a mature temperate forest under elevated CO</w:t>
      </w:r>
      <w:r w:rsidRPr="007A0C87">
        <w:rPr>
          <w:rFonts w:ascii="Arial" w:hAnsi="Arial" w:cs="Arial"/>
          <w:vertAlign w:val="subscript"/>
          <w:lang w:bidi="en-GB"/>
        </w:rPr>
        <w:t>2</w:t>
      </w:r>
      <w:r w:rsidRPr="007A0C87">
        <w:rPr>
          <w:rFonts w:ascii="Arial" w:hAnsi="Arial" w:cs="Arial"/>
          <w:lang w:bidi="en-GB"/>
        </w:rPr>
        <w:t xml:space="preserve">. </w:t>
      </w:r>
      <w:r w:rsidR="006511BC" w:rsidRPr="007A0C87">
        <w:rPr>
          <w:rFonts w:ascii="Arial" w:hAnsi="Arial" w:cs="Arial"/>
          <w:i/>
          <w:iCs/>
          <w:lang w:bidi="en-GB"/>
        </w:rPr>
        <w:t xml:space="preserve">Soil Biology </w:t>
      </w:r>
      <w:r w:rsidR="006511BC">
        <w:rPr>
          <w:rFonts w:ascii="Arial" w:hAnsi="Arial" w:cs="Arial"/>
          <w:i/>
          <w:iCs/>
          <w:lang w:bidi="en-GB"/>
        </w:rPr>
        <w:t>a</w:t>
      </w:r>
      <w:r w:rsidR="006511BC" w:rsidRPr="007A0C87">
        <w:rPr>
          <w:rFonts w:ascii="Arial" w:hAnsi="Arial" w:cs="Arial"/>
          <w:i/>
          <w:iCs/>
          <w:lang w:bidi="en-GB"/>
        </w:rPr>
        <w:t>nd Biochemistr</w:t>
      </w:r>
      <w:r w:rsidR="006511BC">
        <w:rPr>
          <w:rFonts w:ascii="Arial" w:hAnsi="Arial" w:cs="Arial"/>
          <w:i/>
          <w:iCs/>
          <w:lang w:bidi="en-GB"/>
        </w:rPr>
        <w:t>y</w:t>
      </w:r>
      <w:r w:rsidRPr="007A0C87">
        <w:rPr>
          <w:rFonts w:ascii="Arial" w:hAnsi="Arial" w:cs="Arial"/>
          <w:lang w:bidi="en-GB"/>
        </w:rPr>
        <w:t xml:space="preserve"> </w:t>
      </w:r>
      <w:hyperlink r:id="rId21" w:history="1">
        <w:r w:rsidRPr="007A0C87">
          <w:rPr>
            <w:rStyle w:val="Hyperlink"/>
            <w:rFonts w:ascii="Arial" w:hAnsi="Arial" w:cs="Arial"/>
            <w:lang w:bidi="en-GB"/>
          </w:rPr>
          <w:t>https://doi.org/10.1016/j.soilbio.2024.109537</w:t>
        </w:r>
      </w:hyperlink>
      <w:r w:rsidRPr="007A0C87">
        <w:rPr>
          <w:rFonts w:ascii="Arial" w:hAnsi="Arial" w:cs="Arial"/>
          <w:lang w:bidi="en-GB"/>
        </w:rPr>
        <w:t>.</w:t>
      </w:r>
    </w:p>
    <w:p w14:paraId="03D07515" w14:textId="77777777" w:rsidR="00DC3FC5" w:rsidRPr="007A0C87" w:rsidRDefault="00DC3FC5" w:rsidP="007C4D74">
      <w:pPr>
        <w:pStyle w:val="ListParagraph"/>
        <w:numPr>
          <w:ilvl w:val="0"/>
          <w:numId w:val="2"/>
        </w:numPr>
        <w:autoSpaceDE w:val="0"/>
        <w:autoSpaceDN w:val="0"/>
        <w:rPr>
          <w:rFonts w:ascii="Arial" w:eastAsia="Times New Roman" w:hAnsi="Arial" w:cs="Arial"/>
        </w:rPr>
      </w:pPr>
      <w:r w:rsidRPr="007A0C87">
        <w:rPr>
          <w:rFonts w:ascii="Arial" w:eastAsia="Times New Roman" w:hAnsi="Arial" w:cs="Arial"/>
        </w:rPr>
        <w:t xml:space="preserve">Seethepalli, A., &amp; York, L. M. 2020. RhizoVision Explorer - Interactive software for generalized root image analysis designed for everyone (Version 2.0.3). In </w:t>
      </w:r>
      <w:r w:rsidRPr="007A0C87">
        <w:rPr>
          <w:rFonts w:ascii="Arial" w:eastAsia="Times New Roman" w:hAnsi="Arial" w:cs="Arial"/>
          <w:i/>
          <w:iCs/>
        </w:rPr>
        <w:t>Zenodo</w:t>
      </w:r>
      <w:r w:rsidRPr="007A0C87">
        <w:rPr>
          <w:rFonts w:ascii="Arial" w:eastAsia="Times New Roman" w:hAnsi="Arial" w:cs="Arial"/>
        </w:rPr>
        <w:t>.</w:t>
      </w:r>
    </w:p>
    <w:p w14:paraId="6F28492B" w14:textId="34FAB576" w:rsidR="00DC3FC5" w:rsidRPr="007A0C87" w:rsidRDefault="00DC3FC5" w:rsidP="007C4D74">
      <w:pPr>
        <w:pStyle w:val="ListParagraph"/>
        <w:numPr>
          <w:ilvl w:val="0"/>
          <w:numId w:val="2"/>
        </w:numPr>
        <w:autoSpaceDE w:val="0"/>
        <w:autoSpaceDN w:val="0"/>
        <w:rPr>
          <w:rFonts w:ascii="Arial" w:eastAsia="Times New Roman" w:hAnsi="Arial" w:cs="Arial"/>
        </w:rPr>
      </w:pPr>
      <w:r w:rsidRPr="007A0C87">
        <w:rPr>
          <w:rFonts w:ascii="Arial" w:eastAsia="Times New Roman" w:hAnsi="Arial" w:cs="Arial"/>
        </w:rPr>
        <w:t xml:space="preserve">Seethepalli, A., Dhakal, K., Griffiths, M., Guo, H., Freschet, G. T., &amp; York, L. M. 2021. RhizoVision Explorer: open-source software for root image analysis and </w:t>
      </w:r>
      <w:r w:rsidRPr="007A0C87">
        <w:rPr>
          <w:rFonts w:ascii="Arial" w:eastAsia="Times New Roman" w:hAnsi="Arial" w:cs="Arial"/>
        </w:rPr>
        <w:lastRenderedPageBreak/>
        <w:t xml:space="preserve">measurement standardization. </w:t>
      </w:r>
      <w:r w:rsidRPr="007A0C87">
        <w:rPr>
          <w:rFonts w:ascii="Arial" w:eastAsia="Times New Roman" w:hAnsi="Arial" w:cs="Arial"/>
          <w:i/>
          <w:iCs/>
        </w:rPr>
        <w:t>AoB P</w:t>
      </w:r>
      <w:r w:rsidR="00B064E2">
        <w:rPr>
          <w:rFonts w:ascii="Arial" w:eastAsia="Times New Roman" w:hAnsi="Arial" w:cs="Arial"/>
          <w:i/>
          <w:iCs/>
        </w:rPr>
        <w:t>lants</w:t>
      </w:r>
      <w:r w:rsidRPr="007A0C87">
        <w:rPr>
          <w:rFonts w:ascii="Arial" w:eastAsia="Times New Roman" w:hAnsi="Arial" w:cs="Arial"/>
        </w:rPr>
        <w:t xml:space="preserve">, </w:t>
      </w:r>
      <w:r w:rsidRPr="007A0C87">
        <w:rPr>
          <w:rFonts w:ascii="Arial" w:eastAsia="Times New Roman" w:hAnsi="Arial" w:cs="Arial"/>
          <w:i/>
          <w:iCs/>
        </w:rPr>
        <w:t>13</w:t>
      </w:r>
      <w:r w:rsidRPr="007A0C87">
        <w:rPr>
          <w:rFonts w:ascii="Arial" w:eastAsia="Times New Roman" w:hAnsi="Arial" w:cs="Arial"/>
        </w:rPr>
        <w:t>(6). https://doi.org/10.1093/aobpla/plab056</w:t>
      </w:r>
    </w:p>
    <w:p w14:paraId="778BECB4" w14:textId="6E5EB89D" w:rsidR="00DC3FC5" w:rsidRPr="007A0C87" w:rsidRDefault="00DC3FC5" w:rsidP="008D6072">
      <w:pPr>
        <w:pStyle w:val="ListParagraph"/>
        <w:numPr>
          <w:ilvl w:val="0"/>
          <w:numId w:val="2"/>
        </w:numPr>
        <w:rPr>
          <w:rFonts w:ascii="Arial" w:hAnsi="Arial" w:cs="Arial"/>
          <w:lang w:bidi="en-GB"/>
        </w:rPr>
      </w:pPr>
      <w:r w:rsidRPr="007A0C87">
        <w:rPr>
          <w:rFonts w:ascii="Arial" w:hAnsi="Arial" w:cs="Arial"/>
          <w:lang w:bidi="en-GB"/>
        </w:rPr>
        <w:t xml:space="preserve">Sgouridis, F., M. Reay, S. Cotchim, J. Ma, A. Radu and S. Ullah. (2023). Stimulation of soil gross nitrogen transformations and nitrous oxide emission under Free Air CO2 Enrichment in a mature temperate oak forest at BIFoR-FACE. </w:t>
      </w:r>
      <w:r w:rsidR="00B064E2" w:rsidRPr="007A0C87">
        <w:rPr>
          <w:rFonts w:ascii="Arial" w:hAnsi="Arial" w:cs="Arial"/>
          <w:i/>
          <w:lang w:bidi="en-GB"/>
        </w:rPr>
        <w:t>Soil Biology and Biochemistry</w:t>
      </w:r>
      <w:r w:rsidRPr="007A0C87">
        <w:rPr>
          <w:rFonts w:ascii="Arial" w:hAnsi="Arial" w:cs="Arial"/>
          <w:lang w:bidi="en-GB"/>
        </w:rPr>
        <w:t xml:space="preserve">, doi: </w:t>
      </w:r>
      <w:hyperlink r:id="rId22" w:history="1">
        <w:r w:rsidRPr="007A0C87">
          <w:rPr>
            <w:rStyle w:val="Hyperlink"/>
            <w:rFonts w:ascii="Arial" w:hAnsi="Arial" w:cs="Arial"/>
            <w:lang w:bidi="en-GB"/>
          </w:rPr>
          <w:t>https://doi.org/10.1016/j.soilbio.2023.109072</w:t>
        </w:r>
      </w:hyperlink>
    </w:p>
    <w:sectPr w:rsidR="00DC3FC5" w:rsidRPr="007A0C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B1512"/>
    <w:multiLevelType w:val="hybridMultilevel"/>
    <w:tmpl w:val="799E12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0255EB"/>
    <w:multiLevelType w:val="hybridMultilevel"/>
    <w:tmpl w:val="B6EC0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8A3055E"/>
    <w:multiLevelType w:val="hybridMultilevel"/>
    <w:tmpl w:val="469653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0456575">
    <w:abstractNumId w:val="1"/>
  </w:num>
  <w:num w:numId="2" w16cid:durableId="1077361303">
    <w:abstractNumId w:val="2"/>
  </w:num>
  <w:num w:numId="3" w16cid:durableId="972904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F29"/>
    <w:rsid w:val="00013CC9"/>
    <w:rsid w:val="0002214C"/>
    <w:rsid w:val="00024677"/>
    <w:rsid w:val="00043B8F"/>
    <w:rsid w:val="0004494C"/>
    <w:rsid w:val="0005774A"/>
    <w:rsid w:val="000577A9"/>
    <w:rsid w:val="00085027"/>
    <w:rsid w:val="000853ED"/>
    <w:rsid w:val="000B3CF0"/>
    <w:rsid w:val="000C4DF6"/>
    <w:rsid w:val="000D036D"/>
    <w:rsid w:val="000E0F29"/>
    <w:rsid w:val="00146CAE"/>
    <w:rsid w:val="00161EA8"/>
    <w:rsid w:val="00180710"/>
    <w:rsid w:val="00180898"/>
    <w:rsid w:val="001C3116"/>
    <w:rsid w:val="001D0ACA"/>
    <w:rsid w:val="00256D3B"/>
    <w:rsid w:val="00274412"/>
    <w:rsid w:val="002A033F"/>
    <w:rsid w:val="002A1161"/>
    <w:rsid w:val="002A46EF"/>
    <w:rsid w:val="002A6B00"/>
    <w:rsid w:val="002E2464"/>
    <w:rsid w:val="002F39E4"/>
    <w:rsid w:val="00324C11"/>
    <w:rsid w:val="00354982"/>
    <w:rsid w:val="00356EBF"/>
    <w:rsid w:val="003769C5"/>
    <w:rsid w:val="00391DBF"/>
    <w:rsid w:val="003A54F0"/>
    <w:rsid w:val="003B4C6D"/>
    <w:rsid w:val="003B6535"/>
    <w:rsid w:val="003C632E"/>
    <w:rsid w:val="004122A0"/>
    <w:rsid w:val="00417786"/>
    <w:rsid w:val="00425BC2"/>
    <w:rsid w:val="0043154A"/>
    <w:rsid w:val="0045415B"/>
    <w:rsid w:val="0046601E"/>
    <w:rsid w:val="004730F4"/>
    <w:rsid w:val="00476566"/>
    <w:rsid w:val="00486D57"/>
    <w:rsid w:val="004873EA"/>
    <w:rsid w:val="004B4B2E"/>
    <w:rsid w:val="004B6ED7"/>
    <w:rsid w:val="004C1C13"/>
    <w:rsid w:val="004E04BC"/>
    <w:rsid w:val="00523A6C"/>
    <w:rsid w:val="00586952"/>
    <w:rsid w:val="005B57CF"/>
    <w:rsid w:val="005C1092"/>
    <w:rsid w:val="005D630E"/>
    <w:rsid w:val="005E3219"/>
    <w:rsid w:val="005F1FDD"/>
    <w:rsid w:val="005F3021"/>
    <w:rsid w:val="00603D3D"/>
    <w:rsid w:val="006143D9"/>
    <w:rsid w:val="00622E3B"/>
    <w:rsid w:val="006359A3"/>
    <w:rsid w:val="00643577"/>
    <w:rsid w:val="0064537B"/>
    <w:rsid w:val="006511BC"/>
    <w:rsid w:val="00676311"/>
    <w:rsid w:val="00680F34"/>
    <w:rsid w:val="00691E9B"/>
    <w:rsid w:val="006B6124"/>
    <w:rsid w:val="006C0B22"/>
    <w:rsid w:val="006D4713"/>
    <w:rsid w:val="006E5018"/>
    <w:rsid w:val="006F0937"/>
    <w:rsid w:val="0074420C"/>
    <w:rsid w:val="00751B5F"/>
    <w:rsid w:val="00756BC9"/>
    <w:rsid w:val="00766142"/>
    <w:rsid w:val="00780E26"/>
    <w:rsid w:val="00790278"/>
    <w:rsid w:val="00790735"/>
    <w:rsid w:val="007A0C87"/>
    <w:rsid w:val="007B4B97"/>
    <w:rsid w:val="007C2F1A"/>
    <w:rsid w:val="007C4D74"/>
    <w:rsid w:val="007E6D05"/>
    <w:rsid w:val="007F0D64"/>
    <w:rsid w:val="007F1B59"/>
    <w:rsid w:val="008045E3"/>
    <w:rsid w:val="0081039A"/>
    <w:rsid w:val="00834AFF"/>
    <w:rsid w:val="00843D3C"/>
    <w:rsid w:val="00847E17"/>
    <w:rsid w:val="00880FA1"/>
    <w:rsid w:val="0088339D"/>
    <w:rsid w:val="008A15CA"/>
    <w:rsid w:val="008B48F2"/>
    <w:rsid w:val="008C11C4"/>
    <w:rsid w:val="008D30BF"/>
    <w:rsid w:val="008D6072"/>
    <w:rsid w:val="008E4820"/>
    <w:rsid w:val="00904A78"/>
    <w:rsid w:val="009230BC"/>
    <w:rsid w:val="009276D7"/>
    <w:rsid w:val="009437C7"/>
    <w:rsid w:val="009523DC"/>
    <w:rsid w:val="00966C53"/>
    <w:rsid w:val="009959B7"/>
    <w:rsid w:val="009B508C"/>
    <w:rsid w:val="009E390C"/>
    <w:rsid w:val="009E566B"/>
    <w:rsid w:val="009F4BE0"/>
    <w:rsid w:val="00A01D4D"/>
    <w:rsid w:val="00A06175"/>
    <w:rsid w:val="00A11FFA"/>
    <w:rsid w:val="00A21208"/>
    <w:rsid w:val="00A21ADA"/>
    <w:rsid w:val="00A225D6"/>
    <w:rsid w:val="00A70ED5"/>
    <w:rsid w:val="00A72F0F"/>
    <w:rsid w:val="00A744CE"/>
    <w:rsid w:val="00A804E6"/>
    <w:rsid w:val="00A846F1"/>
    <w:rsid w:val="00A95870"/>
    <w:rsid w:val="00AB21F2"/>
    <w:rsid w:val="00AB71A3"/>
    <w:rsid w:val="00AC161E"/>
    <w:rsid w:val="00AF62AC"/>
    <w:rsid w:val="00B064E2"/>
    <w:rsid w:val="00B2208D"/>
    <w:rsid w:val="00B51A4D"/>
    <w:rsid w:val="00BB3E3F"/>
    <w:rsid w:val="00BC1B4B"/>
    <w:rsid w:val="00BC7648"/>
    <w:rsid w:val="00BE2EFC"/>
    <w:rsid w:val="00C30329"/>
    <w:rsid w:val="00C44A09"/>
    <w:rsid w:val="00C44CDB"/>
    <w:rsid w:val="00C570EB"/>
    <w:rsid w:val="00C91113"/>
    <w:rsid w:val="00CA4DA4"/>
    <w:rsid w:val="00CA56C8"/>
    <w:rsid w:val="00CB5D01"/>
    <w:rsid w:val="00CC4CAA"/>
    <w:rsid w:val="00CD2B7C"/>
    <w:rsid w:val="00CD3A08"/>
    <w:rsid w:val="00CF1755"/>
    <w:rsid w:val="00D12280"/>
    <w:rsid w:val="00D12D2C"/>
    <w:rsid w:val="00D400DF"/>
    <w:rsid w:val="00D50FAC"/>
    <w:rsid w:val="00D820BB"/>
    <w:rsid w:val="00DA39AF"/>
    <w:rsid w:val="00DC3FC5"/>
    <w:rsid w:val="00DD04AD"/>
    <w:rsid w:val="00DF1119"/>
    <w:rsid w:val="00DF4D96"/>
    <w:rsid w:val="00DF4E56"/>
    <w:rsid w:val="00E33084"/>
    <w:rsid w:val="00E8256B"/>
    <w:rsid w:val="00E87513"/>
    <w:rsid w:val="00E92DAF"/>
    <w:rsid w:val="00EA1994"/>
    <w:rsid w:val="00EC1263"/>
    <w:rsid w:val="00EF4B02"/>
    <w:rsid w:val="00F127E7"/>
    <w:rsid w:val="00F25253"/>
    <w:rsid w:val="00F50871"/>
    <w:rsid w:val="00F70D44"/>
    <w:rsid w:val="00F8500F"/>
    <w:rsid w:val="00F9524E"/>
    <w:rsid w:val="00F973E7"/>
    <w:rsid w:val="00FC369C"/>
    <w:rsid w:val="00FE72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F6FF1"/>
  <w15:chartTrackingRefBased/>
  <w15:docId w15:val="{80EFB215-D73C-4D5A-B94D-59AC80BFC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0F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0F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0F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0F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0F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0F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0F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0F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0F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0F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0F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0F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0F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0F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0F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0F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0F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0F29"/>
    <w:rPr>
      <w:rFonts w:eastAsiaTheme="majorEastAsia" w:cstheme="majorBidi"/>
      <w:color w:val="272727" w:themeColor="text1" w:themeTint="D8"/>
    </w:rPr>
  </w:style>
  <w:style w:type="paragraph" w:styleId="Title">
    <w:name w:val="Title"/>
    <w:basedOn w:val="Normal"/>
    <w:next w:val="Normal"/>
    <w:link w:val="TitleChar"/>
    <w:uiPriority w:val="10"/>
    <w:qFormat/>
    <w:rsid w:val="000E0F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0F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0F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0F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0F29"/>
    <w:pPr>
      <w:spacing w:before="160"/>
      <w:jc w:val="center"/>
    </w:pPr>
    <w:rPr>
      <w:i/>
      <w:iCs/>
      <w:color w:val="404040" w:themeColor="text1" w:themeTint="BF"/>
    </w:rPr>
  </w:style>
  <w:style w:type="character" w:customStyle="1" w:styleId="QuoteChar">
    <w:name w:val="Quote Char"/>
    <w:basedOn w:val="DefaultParagraphFont"/>
    <w:link w:val="Quote"/>
    <w:uiPriority w:val="29"/>
    <w:rsid w:val="000E0F29"/>
    <w:rPr>
      <w:i/>
      <w:iCs/>
      <w:color w:val="404040" w:themeColor="text1" w:themeTint="BF"/>
    </w:rPr>
  </w:style>
  <w:style w:type="paragraph" w:styleId="ListParagraph">
    <w:name w:val="List Paragraph"/>
    <w:basedOn w:val="Normal"/>
    <w:uiPriority w:val="34"/>
    <w:qFormat/>
    <w:rsid w:val="000E0F29"/>
    <w:pPr>
      <w:ind w:left="720"/>
      <w:contextualSpacing/>
    </w:pPr>
  </w:style>
  <w:style w:type="character" w:styleId="IntenseEmphasis">
    <w:name w:val="Intense Emphasis"/>
    <w:basedOn w:val="DefaultParagraphFont"/>
    <w:uiPriority w:val="21"/>
    <w:qFormat/>
    <w:rsid w:val="000E0F29"/>
    <w:rPr>
      <w:i/>
      <w:iCs/>
      <w:color w:val="0F4761" w:themeColor="accent1" w:themeShade="BF"/>
    </w:rPr>
  </w:style>
  <w:style w:type="paragraph" w:styleId="IntenseQuote">
    <w:name w:val="Intense Quote"/>
    <w:basedOn w:val="Normal"/>
    <w:next w:val="Normal"/>
    <w:link w:val="IntenseQuoteChar"/>
    <w:uiPriority w:val="30"/>
    <w:qFormat/>
    <w:rsid w:val="000E0F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0F29"/>
    <w:rPr>
      <w:i/>
      <w:iCs/>
      <w:color w:val="0F4761" w:themeColor="accent1" w:themeShade="BF"/>
    </w:rPr>
  </w:style>
  <w:style w:type="character" w:styleId="IntenseReference">
    <w:name w:val="Intense Reference"/>
    <w:basedOn w:val="DefaultParagraphFont"/>
    <w:uiPriority w:val="32"/>
    <w:qFormat/>
    <w:rsid w:val="000E0F29"/>
    <w:rPr>
      <w:b/>
      <w:bCs/>
      <w:smallCaps/>
      <w:color w:val="0F4761" w:themeColor="accent1" w:themeShade="BF"/>
      <w:spacing w:val="5"/>
    </w:rPr>
  </w:style>
  <w:style w:type="character" w:styleId="Hyperlink">
    <w:name w:val="Hyperlink"/>
    <w:basedOn w:val="DefaultParagraphFont"/>
    <w:uiPriority w:val="99"/>
    <w:unhideWhenUsed/>
    <w:rsid w:val="003B6535"/>
    <w:rPr>
      <w:color w:val="467886" w:themeColor="hyperlink"/>
      <w:u w:val="single"/>
    </w:rPr>
  </w:style>
  <w:style w:type="character" w:styleId="UnresolvedMention">
    <w:name w:val="Unresolved Mention"/>
    <w:basedOn w:val="DefaultParagraphFont"/>
    <w:uiPriority w:val="99"/>
    <w:semiHidden/>
    <w:unhideWhenUsed/>
    <w:rsid w:val="003B6535"/>
    <w:rPr>
      <w:color w:val="605E5C"/>
      <w:shd w:val="clear" w:color="auto" w:fill="E1DFDD"/>
    </w:rPr>
  </w:style>
  <w:style w:type="paragraph" w:customStyle="1" w:styleId="tabletext">
    <w:name w:val="table_text"/>
    <w:basedOn w:val="Normal"/>
    <w:link w:val="tabletextChar"/>
    <w:qFormat/>
    <w:rsid w:val="004B6ED7"/>
    <w:pPr>
      <w:keepLines/>
      <w:widowControl w:val="0"/>
      <w:autoSpaceDN w:val="0"/>
      <w:adjustRightInd w:val="0"/>
      <w:spacing w:before="120" w:after="120" w:line="200" w:lineRule="atLeast"/>
    </w:pPr>
    <w:rPr>
      <w:rFonts w:ascii="Calibri" w:eastAsia="Times New Roman" w:hAnsi="Calibri" w:cs="Times New Roman"/>
      <w:kern w:val="20"/>
      <w:sz w:val="20"/>
      <w:szCs w:val="20"/>
      <w14:ligatures w14:val="none"/>
    </w:rPr>
  </w:style>
  <w:style w:type="character" w:customStyle="1" w:styleId="tabletextChar">
    <w:name w:val="table_text Char"/>
    <w:link w:val="tabletext"/>
    <w:locked/>
    <w:rsid w:val="004B6ED7"/>
    <w:rPr>
      <w:rFonts w:ascii="Calibri" w:eastAsia="Times New Roman" w:hAnsi="Calibri" w:cs="Times New Roman"/>
      <w:kern w:val="20"/>
      <w:sz w:val="20"/>
      <w:szCs w:val="20"/>
      <w14:ligatures w14:val="none"/>
    </w:rPr>
  </w:style>
  <w:style w:type="character" w:styleId="CommentReference">
    <w:name w:val="annotation reference"/>
    <w:basedOn w:val="DefaultParagraphFont"/>
    <w:uiPriority w:val="99"/>
    <w:semiHidden/>
    <w:unhideWhenUsed/>
    <w:rsid w:val="00834AFF"/>
    <w:rPr>
      <w:sz w:val="16"/>
      <w:szCs w:val="16"/>
    </w:rPr>
  </w:style>
  <w:style w:type="paragraph" w:styleId="CommentText">
    <w:name w:val="annotation text"/>
    <w:basedOn w:val="Normal"/>
    <w:link w:val="CommentTextChar"/>
    <w:uiPriority w:val="99"/>
    <w:unhideWhenUsed/>
    <w:rsid w:val="00834AFF"/>
    <w:pPr>
      <w:spacing w:line="240" w:lineRule="auto"/>
      <w:ind w:firstLine="720"/>
      <w:jc w:val="both"/>
    </w:pPr>
    <w:rPr>
      <w:rFonts w:ascii="Arial" w:hAnsi="Arial"/>
      <w:color w:val="000000"/>
      <w:sz w:val="20"/>
      <w:szCs w:val="20"/>
    </w:rPr>
  </w:style>
  <w:style w:type="character" w:customStyle="1" w:styleId="CommentTextChar">
    <w:name w:val="Comment Text Char"/>
    <w:basedOn w:val="DefaultParagraphFont"/>
    <w:link w:val="CommentText"/>
    <w:uiPriority w:val="99"/>
    <w:rsid w:val="00834AFF"/>
    <w:rPr>
      <w:rFonts w:ascii="Arial" w:hAnsi="Arial"/>
      <w:color w:val="000000"/>
      <w:sz w:val="20"/>
      <w:szCs w:val="20"/>
    </w:rPr>
  </w:style>
  <w:style w:type="character" w:styleId="FollowedHyperlink">
    <w:name w:val="FollowedHyperlink"/>
    <w:basedOn w:val="DefaultParagraphFont"/>
    <w:uiPriority w:val="99"/>
    <w:semiHidden/>
    <w:unhideWhenUsed/>
    <w:rsid w:val="006F0937"/>
    <w:rPr>
      <w:color w:val="96607D" w:themeColor="followedHyperlink"/>
      <w:u w:val="single"/>
    </w:rPr>
  </w:style>
  <w:style w:type="paragraph" w:styleId="CommentSubject">
    <w:name w:val="annotation subject"/>
    <w:basedOn w:val="CommentText"/>
    <w:next w:val="CommentText"/>
    <w:link w:val="CommentSubjectChar"/>
    <w:uiPriority w:val="99"/>
    <w:semiHidden/>
    <w:unhideWhenUsed/>
    <w:rsid w:val="00A06175"/>
    <w:pPr>
      <w:ind w:firstLine="0"/>
      <w:jc w:val="left"/>
    </w:pPr>
    <w:rPr>
      <w:rFonts w:asciiTheme="minorHAnsi" w:hAnsiTheme="minorHAnsi"/>
      <w:b/>
      <w:bCs/>
      <w:color w:val="auto"/>
    </w:rPr>
  </w:style>
  <w:style w:type="character" w:customStyle="1" w:styleId="CommentSubjectChar">
    <w:name w:val="Comment Subject Char"/>
    <w:basedOn w:val="CommentTextChar"/>
    <w:link w:val="CommentSubject"/>
    <w:uiPriority w:val="99"/>
    <w:semiHidden/>
    <w:rsid w:val="00A06175"/>
    <w:rPr>
      <w:rFonts w:ascii="Arial" w:hAnsi="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50767">
      <w:bodyDiv w:val="1"/>
      <w:marLeft w:val="0"/>
      <w:marRight w:val="0"/>
      <w:marTop w:val="0"/>
      <w:marBottom w:val="0"/>
      <w:divBdr>
        <w:top w:val="none" w:sz="0" w:space="0" w:color="auto"/>
        <w:left w:val="none" w:sz="0" w:space="0" w:color="auto"/>
        <w:bottom w:val="none" w:sz="0" w:space="0" w:color="auto"/>
        <w:right w:val="none" w:sz="0" w:space="0" w:color="auto"/>
      </w:divBdr>
    </w:div>
    <w:div w:id="143743529">
      <w:bodyDiv w:val="1"/>
      <w:marLeft w:val="0"/>
      <w:marRight w:val="0"/>
      <w:marTop w:val="0"/>
      <w:marBottom w:val="0"/>
      <w:divBdr>
        <w:top w:val="none" w:sz="0" w:space="0" w:color="auto"/>
        <w:left w:val="none" w:sz="0" w:space="0" w:color="auto"/>
        <w:bottom w:val="none" w:sz="0" w:space="0" w:color="auto"/>
        <w:right w:val="none" w:sz="0" w:space="0" w:color="auto"/>
      </w:divBdr>
    </w:div>
    <w:div w:id="468330920">
      <w:bodyDiv w:val="1"/>
      <w:marLeft w:val="0"/>
      <w:marRight w:val="0"/>
      <w:marTop w:val="0"/>
      <w:marBottom w:val="0"/>
      <w:divBdr>
        <w:top w:val="none" w:sz="0" w:space="0" w:color="auto"/>
        <w:left w:val="none" w:sz="0" w:space="0" w:color="auto"/>
        <w:bottom w:val="none" w:sz="0" w:space="0" w:color="auto"/>
        <w:right w:val="none" w:sz="0" w:space="0" w:color="auto"/>
      </w:divBdr>
      <w:divsChild>
        <w:div w:id="1246455383">
          <w:marLeft w:val="0"/>
          <w:marRight w:val="0"/>
          <w:marTop w:val="0"/>
          <w:marBottom w:val="0"/>
          <w:divBdr>
            <w:top w:val="none" w:sz="0" w:space="0" w:color="auto"/>
            <w:left w:val="none" w:sz="0" w:space="0" w:color="auto"/>
            <w:bottom w:val="none" w:sz="0" w:space="0" w:color="auto"/>
            <w:right w:val="none" w:sz="0" w:space="0" w:color="auto"/>
          </w:divBdr>
        </w:div>
        <w:div w:id="761225380">
          <w:marLeft w:val="0"/>
          <w:marRight w:val="0"/>
          <w:marTop w:val="0"/>
          <w:marBottom w:val="0"/>
          <w:divBdr>
            <w:top w:val="none" w:sz="0" w:space="0" w:color="auto"/>
            <w:left w:val="none" w:sz="0" w:space="0" w:color="auto"/>
            <w:bottom w:val="none" w:sz="0" w:space="0" w:color="auto"/>
            <w:right w:val="none" w:sz="0" w:space="0" w:color="auto"/>
          </w:divBdr>
        </w:div>
      </w:divsChild>
    </w:div>
    <w:div w:id="796534794">
      <w:bodyDiv w:val="1"/>
      <w:marLeft w:val="0"/>
      <w:marRight w:val="0"/>
      <w:marTop w:val="0"/>
      <w:marBottom w:val="0"/>
      <w:divBdr>
        <w:top w:val="none" w:sz="0" w:space="0" w:color="auto"/>
        <w:left w:val="none" w:sz="0" w:space="0" w:color="auto"/>
        <w:bottom w:val="none" w:sz="0" w:space="0" w:color="auto"/>
        <w:right w:val="none" w:sz="0" w:space="0" w:color="auto"/>
      </w:divBdr>
    </w:div>
    <w:div w:id="102906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agricultural-and-biological-sciences/sulfanilamide" TargetMode="External"/><Relationship Id="rId13" Type="http://schemas.openxmlformats.org/officeDocument/2006/relationships/hyperlink" Target="https://www.sciencedirect.com/topics/agricultural-and-biological-sciences/sulfanilamide" TargetMode="External"/><Relationship Id="rId18" Type="http://schemas.openxmlformats.org/officeDocument/2006/relationships/hyperlink" Target="https://doi.org/10.1111/NPH.13961" TargetMode="External"/><Relationship Id="rId3" Type="http://schemas.openxmlformats.org/officeDocument/2006/relationships/styles" Target="styles.xml"/><Relationship Id="rId21" Type="http://schemas.openxmlformats.org/officeDocument/2006/relationships/hyperlink" Target="https://doi.org/10.1016/j.soilbio.2024.109537" TargetMode="External"/><Relationship Id="rId7" Type="http://schemas.openxmlformats.org/officeDocument/2006/relationships/hyperlink" Target="https://www.sciencedirect.com/topics/earth-and-planetary-sciences/isotope-ratios" TargetMode="External"/><Relationship Id="rId12" Type="http://schemas.openxmlformats.org/officeDocument/2006/relationships/hyperlink" Target="https://www.sciencedirect.com/topics/earth-and-planetary-sciences/isotope-ratios" TargetMode="External"/><Relationship Id="rId17" Type="http://schemas.openxmlformats.org/officeDocument/2006/relationships/hyperlink" Target="http://mapapps.bgs.ac.uk/geologyofbritain/home.html" TargetMode="External"/><Relationship Id="rId2" Type="http://schemas.openxmlformats.org/officeDocument/2006/relationships/numbering" Target="numbering.xml"/><Relationship Id="rId16" Type="http://schemas.openxmlformats.org/officeDocument/2006/relationships/hyperlink" Target="https://www.sciencedirect.com/topics/agricultural-and-biological-sciences/sulfanilamide" TargetMode="External"/><Relationship Id="rId20" Type="http://schemas.openxmlformats.org/officeDocument/2006/relationships/hyperlink" Target="https://doi.org/10.25500/edata.bham.00000706" TargetMode="External"/><Relationship Id="rId1" Type="http://schemas.openxmlformats.org/officeDocument/2006/relationships/customXml" Target="../customXml/item1.xml"/><Relationship Id="rId6" Type="http://schemas.openxmlformats.org/officeDocument/2006/relationships/hyperlink" Target="https://www.sciencedirect.com/topics/earth-and-planetary-sciences/dissolved-organic-carbon" TargetMode="External"/><Relationship Id="rId11" Type="http://schemas.openxmlformats.org/officeDocument/2006/relationships/hyperlink" Target="https://www.sciencedirect.com/topics/agricultural-and-biological-sciences/sulfanilami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ciencedirect.com/topics/agricultural-and-biological-sciences/sulfanilamide" TargetMode="External"/><Relationship Id="rId23" Type="http://schemas.openxmlformats.org/officeDocument/2006/relationships/fontTable" Target="fontTable.xml"/><Relationship Id="rId10" Type="http://schemas.openxmlformats.org/officeDocument/2006/relationships/hyperlink" Target="https://www.sciencedirect.com/topics/agricultural-and-biological-sciences/coumarin" TargetMode="External"/><Relationship Id="rId19" Type="http://schemas.openxmlformats.org/officeDocument/2006/relationships/hyperlink" Target="https://doi.org/10.1111/gcb.14786" TargetMode="External"/><Relationship Id="rId4" Type="http://schemas.openxmlformats.org/officeDocument/2006/relationships/settings" Target="settings.xml"/><Relationship Id="rId9" Type="http://schemas.openxmlformats.org/officeDocument/2006/relationships/hyperlink" Target="https://www.sciencedirect.com/topics/agricultural-and-biological-sciences/enzyme-activity" TargetMode="External"/><Relationship Id="rId14" Type="http://schemas.openxmlformats.org/officeDocument/2006/relationships/hyperlink" Target="https://www.sciencedirect.com/topics/earth-and-planetary-sciences/isotope-ratios" TargetMode="External"/><Relationship Id="rId22" Type="http://schemas.openxmlformats.org/officeDocument/2006/relationships/hyperlink" Target="https://doi.org/10.1016/j.soilbio.2023.1090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A4ECE-6A6B-4B0A-BCD3-E9DC0890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3773</Words>
  <Characters>19886</Characters>
  <Application>Microsoft Office Word</Application>
  <DocSecurity>0</DocSecurity>
  <Lines>315</Lines>
  <Paragraphs>71</Paragraphs>
  <ScaleCrop>false</ScaleCrop>
  <HeadingPairs>
    <vt:vector size="2" baseType="variant">
      <vt:variant>
        <vt:lpstr>Title</vt:lpstr>
      </vt:variant>
      <vt:variant>
        <vt:i4>1</vt:i4>
      </vt:variant>
    </vt:vector>
  </HeadingPairs>
  <TitlesOfParts>
    <vt:vector size="1" baseType="lpstr">
      <vt:lpstr/>
    </vt:vector>
  </TitlesOfParts>
  <Company>University of Birmingham</Company>
  <LinksUpToDate>false</LinksUpToDate>
  <CharactersWithSpaces>23588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 Ullah (Geography)</dc:creator>
  <cp:keywords/>
  <dc:description/>
  <cp:lastModifiedBy>Claire Wells</cp:lastModifiedBy>
  <cp:revision>9</cp:revision>
  <dcterms:created xsi:type="dcterms:W3CDTF">2024-09-30T08:15:00Z</dcterms:created>
  <dcterms:modified xsi:type="dcterms:W3CDTF">2024-09-30T12:09:00Z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bc3a626fd5bc01cfccc77474eacf53a42e4fc4305a8561142e544ea398911b3c</vt:lpwstr>
  </property>
</Properties>
</file>