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F2BC55" w14:textId="44582EE1" w:rsidR="00977701" w:rsidRPr="00D72CA6" w:rsidRDefault="00977701" w:rsidP="00977701">
      <w:pPr>
        <w:rPr>
          <w:rFonts w:ascii="Times New Roman" w:hAnsi="Times New Roman" w:cs="Times New Roman"/>
          <w:sz w:val="24"/>
          <w:szCs w:val="24"/>
        </w:rPr>
      </w:pPr>
      <w:r w:rsidRPr="00D72CA6">
        <w:rPr>
          <w:rFonts w:ascii="Times New Roman" w:hAnsi="Times New Roman" w:cs="Times New Roman"/>
          <w:sz w:val="24"/>
          <w:szCs w:val="24"/>
        </w:rPr>
        <w:t xml:space="preserve">Metadata for </w:t>
      </w:r>
      <w:r w:rsidR="00F65B78">
        <w:rPr>
          <w:rFonts w:ascii="Times New Roman" w:hAnsi="Times New Roman" w:cs="Times New Roman"/>
          <w:sz w:val="24"/>
          <w:szCs w:val="24"/>
        </w:rPr>
        <w:t>Quantitative genetics of common juniper trees in a common garden trail in Cardrona, Scotland, 2022-2025.</w:t>
      </w:r>
    </w:p>
    <w:p w14:paraId="0F750A7F" w14:textId="77777777" w:rsidR="00C71D32" w:rsidRPr="00D72CA6" w:rsidRDefault="00C71D32" w:rsidP="00977701">
      <w:pPr>
        <w:rPr>
          <w:rFonts w:ascii="Times New Roman" w:hAnsi="Times New Roman" w:cs="Times New Roman"/>
          <w:b/>
          <w:bCs/>
          <w:sz w:val="24"/>
          <w:szCs w:val="24"/>
        </w:rPr>
      </w:pPr>
    </w:p>
    <w:p w14:paraId="5FD43E1D" w14:textId="0236E828" w:rsidR="00977701" w:rsidRPr="00D72CA6" w:rsidRDefault="00C71D32" w:rsidP="00977701">
      <w:pPr>
        <w:rPr>
          <w:rFonts w:ascii="Times New Roman" w:hAnsi="Times New Roman" w:cs="Times New Roman"/>
          <w:b/>
          <w:bCs/>
          <w:sz w:val="24"/>
          <w:szCs w:val="24"/>
        </w:rPr>
      </w:pPr>
      <w:r w:rsidRPr="00D72CA6">
        <w:rPr>
          <w:rFonts w:ascii="Times New Roman" w:hAnsi="Times New Roman" w:cs="Times New Roman"/>
          <w:b/>
          <w:bCs/>
          <w:sz w:val="24"/>
          <w:szCs w:val="24"/>
        </w:rPr>
        <w:t>D</w:t>
      </w:r>
      <w:r w:rsidR="00977701" w:rsidRPr="00D72CA6">
        <w:rPr>
          <w:rFonts w:ascii="Times New Roman" w:hAnsi="Times New Roman" w:cs="Times New Roman"/>
          <w:b/>
          <w:bCs/>
          <w:sz w:val="24"/>
          <w:szCs w:val="24"/>
        </w:rPr>
        <w:t>escription:</w:t>
      </w:r>
    </w:p>
    <w:p w14:paraId="3F458DBC" w14:textId="18E4B842" w:rsidR="002470EE" w:rsidRDefault="002470EE" w:rsidP="00977701">
      <w:pPr>
        <w:rPr>
          <w:rFonts w:ascii="Times New Roman" w:hAnsi="Times New Roman" w:cs="Times New Roman"/>
          <w:sz w:val="24"/>
          <w:szCs w:val="24"/>
        </w:rPr>
      </w:pPr>
      <w:r w:rsidRPr="00D72CA6">
        <w:rPr>
          <w:rFonts w:ascii="Times New Roman" w:hAnsi="Times New Roman" w:cs="Times New Roman"/>
          <w:b/>
          <w:bCs/>
          <w:sz w:val="24"/>
          <w:szCs w:val="24"/>
        </w:rPr>
        <w:tab/>
      </w:r>
      <w:r w:rsidRPr="00D72CA6">
        <w:rPr>
          <w:rFonts w:ascii="Times New Roman" w:hAnsi="Times New Roman" w:cs="Times New Roman"/>
          <w:sz w:val="24"/>
          <w:szCs w:val="24"/>
        </w:rPr>
        <w:t>This EIDC data deposit contains all data pertaining to the common garden trial of common juniper trees planted in Cardrona, the Scottish Borders. This trial consists of 540 plants that were raised from seeds gathered from 16 natural populations around the UK (Table 1: Figure 1)</w:t>
      </w:r>
      <w:r w:rsidR="00A92B2F" w:rsidRPr="00D72CA6">
        <w:rPr>
          <w:rFonts w:ascii="Times New Roman" w:hAnsi="Times New Roman" w:cs="Times New Roman"/>
          <w:sz w:val="24"/>
          <w:szCs w:val="24"/>
        </w:rPr>
        <w:t xml:space="preserve"> between 2015-2016. Seeds began germinating between 2016-2018, when they were also repotted from seedling trays into individual pots, and were subsequently transplanted to the field site in Summer 2022. </w:t>
      </w:r>
      <w:r w:rsidR="002854ED" w:rsidRPr="00D72CA6">
        <w:rPr>
          <w:rFonts w:ascii="Times New Roman" w:hAnsi="Times New Roman" w:cs="Times New Roman"/>
          <w:sz w:val="24"/>
          <w:szCs w:val="24"/>
        </w:rPr>
        <w:t>The quantitative measurements, including needle morphology and bud burst phenology, were assessed as part of the primary author’s PhD</w:t>
      </w:r>
      <w:r w:rsidR="00794434" w:rsidRPr="00D72CA6">
        <w:rPr>
          <w:rFonts w:ascii="Times New Roman" w:hAnsi="Times New Roman" w:cs="Times New Roman"/>
          <w:sz w:val="24"/>
          <w:szCs w:val="24"/>
        </w:rPr>
        <w:t xml:space="preserve"> thesis, and sections of this Metadata document are taken from that manuscript. </w:t>
      </w:r>
    </w:p>
    <w:p w14:paraId="0B1DEB42" w14:textId="77777777" w:rsidR="00561544" w:rsidRPr="004D4F2F" w:rsidRDefault="00561544" w:rsidP="00561544">
      <w:pPr>
        <w:spacing w:line="276" w:lineRule="auto"/>
        <w:rPr>
          <w:rFonts w:ascii="Arial" w:hAnsi="Arial" w:cs="Arial"/>
          <w:sz w:val="24"/>
          <w:szCs w:val="24"/>
        </w:rPr>
      </w:pPr>
      <w:r w:rsidRPr="004D4F2F">
        <w:rPr>
          <w:rFonts w:ascii="Arial" w:hAnsi="Arial" w:cs="Arial"/>
          <w:noProof/>
          <w:sz w:val="24"/>
          <w:szCs w:val="24"/>
        </w:rPr>
        <w:drawing>
          <wp:inline distT="0" distB="0" distL="0" distR="0" wp14:anchorId="72ED4F7B" wp14:editId="150F23FD">
            <wp:extent cx="6311900" cy="3155950"/>
            <wp:effectExtent l="0" t="0" r="0" b="6350"/>
            <wp:docPr id="2137371899" name="Picture 2" descr="A map of the united kingd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371899" name="Picture 2" descr="A map of the united kingdom&#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11900" cy="3155950"/>
                    </a:xfrm>
                    <a:prstGeom prst="rect">
                      <a:avLst/>
                    </a:prstGeom>
                    <a:noFill/>
                    <a:ln>
                      <a:noFill/>
                    </a:ln>
                  </pic:spPr>
                </pic:pic>
              </a:graphicData>
            </a:graphic>
          </wp:inline>
        </w:drawing>
      </w:r>
    </w:p>
    <w:p w14:paraId="15D6F7CE" w14:textId="0E6E2BFD" w:rsidR="00561544" w:rsidRPr="004D4F2F" w:rsidRDefault="00561544" w:rsidP="00561544">
      <w:pPr>
        <w:pStyle w:val="Caption"/>
        <w:spacing w:line="276" w:lineRule="auto"/>
        <w:jc w:val="center"/>
        <w:rPr>
          <w:rFonts w:ascii="Arial" w:hAnsi="Arial" w:cs="Arial"/>
          <w:sz w:val="24"/>
          <w:szCs w:val="24"/>
        </w:rPr>
      </w:pPr>
      <w:bookmarkStart w:id="0" w:name="_Toc211594128"/>
      <w:bookmarkStart w:id="1" w:name="_Toc212797466"/>
      <w:r w:rsidRPr="004D4F2F">
        <w:rPr>
          <w:rFonts w:ascii="Arial" w:hAnsi="Arial" w:cs="Arial"/>
          <w:sz w:val="24"/>
          <w:szCs w:val="24"/>
        </w:rPr>
        <w:t>Figure</w:t>
      </w:r>
      <w:r>
        <w:rPr>
          <w:rFonts w:ascii="Arial" w:hAnsi="Arial" w:cs="Arial"/>
          <w:sz w:val="24"/>
          <w:szCs w:val="24"/>
        </w:rPr>
        <w:t xml:space="preserve"> </w:t>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1</w:t>
      </w:r>
      <w:r w:rsidRPr="004D4F2F">
        <w:rPr>
          <w:rFonts w:ascii="Arial" w:hAnsi="Arial" w:cs="Arial"/>
          <w:sz w:val="24"/>
          <w:szCs w:val="24"/>
        </w:rPr>
        <w:fldChar w:fldCharType="end"/>
      </w:r>
      <w:r w:rsidRPr="004D4F2F">
        <w:rPr>
          <w:rFonts w:ascii="Arial" w:hAnsi="Arial" w:cs="Arial"/>
          <w:sz w:val="24"/>
          <w:szCs w:val="24"/>
        </w:rPr>
        <w:t>: Geographic distribution of populations sampled for in this trial (left) and the climactic space plot of these locations (right), displaying 40-year averages of Mean annual temperature (°C) and Total annual precipitation (cm). Regions are colour coded, and populations are denoted with the abbreviations given in Table 1.</w:t>
      </w:r>
      <w:bookmarkEnd w:id="0"/>
      <w:bookmarkEnd w:id="1"/>
    </w:p>
    <w:p w14:paraId="1A56B301" w14:textId="77777777" w:rsidR="00561544" w:rsidRPr="00D72CA6" w:rsidRDefault="00561544" w:rsidP="00977701">
      <w:pPr>
        <w:rPr>
          <w:rFonts w:ascii="Times New Roman" w:hAnsi="Times New Roman" w:cs="Times New Roman"/>
          <w:sz w:val="24"/>
          <w:szCs w:val="24"/>
        </w:rPr>
      </w:pPr>
    </w:p>
    <w:p w14:paraId="5817DE7C" w14:textId="040ECBF1" w:rsidR="001F3554" w:rsidRPr="004D4F2F" w:rsidRDefault="001F3554" w:rsidP="001F3554">
      <w:pPr>
        <w:pStyle w:val="Caption"/>
        <w:keepNext/>
        <w:spacing w:line="276" w:lineRule="auto"/>
        <w:jc w:val="center"/>
        <w:rPr>
          <w:rFonts w:ascii="Arial" w:hAnsi="Arial" w:cs="Arial"/>
          <w:sz w:val="24"/>
          <w:szCs w:val="24"/>
        </w:rPr>
      </w:pPr>
      <w:bookmarkStart w:id="2" w:name="_Toc211511676"/>
      <w:bookmarkStart w:id="3" w:name="_Toc211594172"/>
      <w:bookmarkStart w:id="4" w:name="_Toc212797511"/>
      <w:r w:rsidRPr="004D4F2F">
        <w:rPr>
          <w:rFonts w:ascii="Arial" w:hAnsi="Arial" w:cs="Arial"/>
          <w:sz w:val="24"/>
          <w:szCs w:val="24"/>
        </w:rPr>
        <w:t xml:space="preserve">Table </w:t>
      </w:r>
      <w:r w:rsidRPr="004D4F2F">
        <w:rPr>
          <w:rFonts w:ascii="Arial" w:hAnsi="Arial" w:cs="Arial"/>
          <w:sz w:val="24"/>
          <w:szCs w:val="24"/>
        </w:rPr>
        <w:fldChar w:fldCharType="begin"/>
      </w:r>
      <w:r w:rsidRPr="004D4F2F">
        <w:rPr>
          <w:rFonts w:ascii="Arial" w:hAnsi="Arial" w:cs="Arial"/>
          <w:sz w:val="24"/>
          <w:szCs w:val="24"/>
        </w:rPr>
        <w:instrText xml:space="preserve"> SEQ Table \* ARABIC \s 1 </w:instrText>
      </w:r>
      <w:r w:rsidRPr="004D4F2F">
        <w:rPr>
          <w:rFonts w:ascii="Arial" w:hAnsi="Arial" w:cs="Arial"/>
          <w:sz w:val="24"/>
          <w:szCs w:val="24"/>
        </w:rPr>
        <w:fldChar w:fldCharType="separate"/>
      </w:r>
      <w:r>
        <w:rPr>
          <w:rFonts w:ascii="Arial" w:hAnsi="Arial" w:cs="Arial"/>
          <w:noProof/>
          <w:sz w:val="24"/>
          <w:szCs w:val="24"/>
        </w:rPr>
        <w:t>1</w:t>
      </w:r>
      <w:r w:rsidRPr="004D4F2F">
        <w:rPr>
          <w:rFonts w:ascii="Arial" w:hAnsi="Arial" w:cs="Arial"/>
          <w:sz w:val="24"/>
          <w:szCs w:val="24"/>
        </w:rPr>
        <w:fldChar w:fldCharType="end"/>
      </w:r>
      <w:r w:rsidRPr="004D4F2F">
        <w:rPr>
          <w:rFonts w:ascii="Arial" w:hAnsi="Arial" w:cs="Arial"/>
          <w:sz w:val="24"/>
          <w:szCs w:val="24"/>
        </w:rPr>
        <w:t>: Seed source site regions, names, abbreviations, number of maternal trees and individuals included in the common garden trial, and decimal degree latitude and longitude locations</w:t>
      </w:r>
      <w:bookmarkEnd w:id="2"/>
      <w:bookmarkEnd w:id="3"/>
      <w:bookmarkEnd w:id="4"/>
    </w:p>
    <w:tbl>
      <w:tblPr>
        <w:tblW w:w="10768" w:type="dxa"/>
        <w:jc w:val="center"/>
        <w:tblLook w:val="04A0" w:firstRow="1" w:lastRow="0" w:firstColumn="1" w:lastColumn="0" w:noHBand="0" w:noVBand="1"/>
      </w:tblPr>
      <w:tblGrid>
        <w:gridCol w:w="1418"/>
        <w:gridCol w:w="1683"/>
        <w:gridCol w:w="1551"/>
        <w:gridCol w:w="1868"/>
        <w:gridCol w:w="2170"/>
        <w:gridCol w:w="1071"/>
        <w:gridCol w:w="1271"/>
      </w:tblGrid>
      <w:tr w:rsidR="001F3554" w:rsidRPr="004D4F2F" w14:paraId="4AB6A7AC" w14:textId="77777777" w:rsidTr="00EB1595">
        <w:trPr>
          <w:trHeight w:val="618"/>
          <w:jc w:val="center"/>
        </w:trPr>
        <w:tc>
          <w:tcPr>
            <w:tcW w:w="1418" w:type="dxa"/>
            <w:tcBorders>
              <w:top w:val="single" w:sz="4" w:space="0" w:color="auto"/>
              <w:left w:val="nil"/>
              <w:bottom w:val="single" w:sz="8" w:space="0" w:color="auto"/>
              <w:right w:val="nil"/>
            </w:tcBorders>
            <w:shd w:val="clear" w:color="auto" w:fill="auto"/>
            <w:noWrap/>
            <w:vAlign w:val="bottom"/>
            <w:hideMark/>
          </w:tcPr>
          <w:p w14:paraId="26BF1EDA"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Region</w:t>
            </w:r>
          </w:p>
        </w:tc>
        <w:tc>
          <w:tcPr>
            <w:tcW w:w="1610" w:type="dxa"/>
            <w:tcBorders>
              <w:top w:val="single" w:sz="4" w:space="0" w:color="auto"/>
              <w:left w:val="nil"/>
              <w:bottom w:val="single" w:sz="8" w:space="0" w:color="auto"/>
              <w:right w:val="nil"/>
            </w:tcBorders>
            <w:shd w:val="clear" w:color="auto" w:fill="auto"/>
            <w:noWrap/>
            <w:vAlign w:val="bottom"/>
            <w:hideMark/>
          </w:tcPr>
          <w:p w14:paraId="0D0F68F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Population</w:t>
            </w:r>
          </w:p>
        </w:tc>
        <w:tc>
          <w:tcPr>
            <w:tcW w:w="1483" w:type="dxa"/>
            <w:tcBorders>
              <w:top w:val="single" w:sz="4" w:space="0" w:color="auto"/>
              <w:left w:val="nil"/>
              <w:bottom w:val="single" w:sz="8" w:space="0" w:color="auto"/>
              <w:right w:val="single" w:sz="4" w:space="0" w:color="auto"/>
            </w:tcBorders>
            <w:shd w:val="clear" w:color="auto" w:fill="auto"/>
            <w:vAlign w:val="bottom"/>
            <w:hideMark/>
          </w:tcPr>
          <w:p w14:paraId="23398D9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Population Abbreviation</w:t>
            </w:r>
          </w:p>
        </w:tc>
        <w:tc>
          <w:tcPr>
            <w:tcW w:w="1868" w:type="dxa"/>
            <w:tcBorders>
              <w:top w:val="single" w:sz="4" w:space="0" w:color="auto"/>
              <w:left w:val="nil"/>
              <w:bottom w:val="single" w:sz="8" w:space="0" w:color="auto"/>
              <w:right w:val="nil"/>
            </w:tcBorders>
            <w:shd w:val="clear" w:color="auto" w:fill="auto"/>
            <w:vAlign w:val="bottom"/>
            <w:hideMark/>
          </w:tcPr>
          <w:p w14:paraId="71F8A700"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Number of families (maternal trees)</w:t>
            </w:r>
          </w:p>
        </w:tc>
        <w:tc>
          <w:tcPr>
            <w:tcW w:w="2170" w:type="dxa"/>
            <w:tcBorders>
              <w:top w:val="single" w:sz="4" w:space="0" w:color="auto"/>
              <w:left w:val="nil"/>
              <w:bottom w:val="single" w:sz="8" w:space="0" w:color="auto"/>
              <w:right w:val="nil"/>
            </w:tcBorders>
            <w:shd w:val="clear" w:color="auto" w:fill="auto"/>
            <w:vAlign w:val="bottom"/>
            <w:hideMark/>
          </w:tcPr>
          <w:p w14:paraId="6B2B951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Number of individuals</w:t>
            </w:r>
          </w:p>
        </w:tc>
        <w:tc>
          <w:tcPr>
            <w:tcW w:w="1016" w:type="dxa"/>
            <w:tcBorders>
              <w:top w:val="single" w:sz="4" w:space="0" w:color="auto"/>
              <w:left w:val="nil"/>
              <w:bottom w:val="single" w:sz="8" w:space="0" w:color="auto"/>
              <w:right w:val="nil"/>
            </w:tcBorders>
            <w:shd w:val="clear" w:color="auto" w:fill="auto"/>
            <w:noWrap/>
            <w:vAlign w:val="bottom"/>
            <w:hideMark/>
          </w:tcPr>
          <w:p w14:paraId="0203C1B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Latitude</w:t>
            </w:r>
          </w:p>
        </w:tc>
        <w:tc>
          <w:tcPr>
            <w:tcW w:w="1203" w:type="dxa"/>
            <w:tcBorders>
              <w:top w:val="single" w:sz="4" w:space="0" w:color="auto"/>
              <w:left w:val="nil"/>
              <w:bottom w:val="single" w:sz="8" w:space="0" w:color="auto"/>
              <w:right w:val="nil"/>
            </w:tcBorders>
            <w:shd w:val="clear" w:color="auto" w:fill="auto"/>
            <w:noWrap/>
            <w:vAlign w:val="bottom"/>
            <w:hideMark/>
          </w:tcPr>
          <w:p w14:paraId="652B570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Longitude</w:t>
            </w:r>
          </w:p>
        </w:tc>
      </w:tr>
      <w:tr w:rsidR="001F3554" w:rsidRPr="004D4F2F" w14:paraId="69963557"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5C4B5331"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lastRenderedPageBreak/>
              <w:t>Scotland</w:t>
            </w:r>
          </w:p>
        </w:tc>
        <w:tc>
          <w:tcPr>
            <w:tcW w:w="1610" w:type="dxa"/>
            <w:tcBorders>
              <w:top w:val="nil"/>
              <w:left w:val="nil"/>
              <w:bottom w:val="nil"/>
              <w:right w:val="nil"/>
            </w:tcBorders>
            <w:shd w:val="clear" w:color="auto" w:fill="auto"/>
            <w:noWrap/>
            <w:vAlign w:val="bottom"/>
            <w:hideMark/>
          </w:tcPr>
          <w:p w14:paraId="50C3533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Argyll</w:t>
            </w:r>
          </w:p>
        </w:tc>
        <w:tc>
          <w:tcPr>
            <w:tcW w:w="1483" w:type="dxa"/>
            <w:tcBorders>
              <w:top w:val="nil"/>
              <w:left w:val="nil"/>
              <w:bottom w:val="nil"/>
              <w:right w:val="single" w:sz="4" w:space="0" w:color="auto"/>
            </w:tcBorders>
            <w:shd w:val="clear" w:color="auto" w:fill="auto"/>
            <w:noWrap/>
            <w:vAlign w:val="bottom"/>
            <w:hideMark/>
          </w:tcPr>
          <w:p w14:paraId="705D668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AG</w:t>
            </w:r>
          </w:p>
        </w:tc>
        <w:tc>
          <w:tcPr>
            <w:tcW w:w="1868" w:type="dxa"/>
            <w:tcBorders>
              <w:top w:val="nil"/>
              <w:left w:val="nil"/>
              <w:bottom w:val="nil"/>
              <w:right w:val="nil"/>
            </w:tcBorders>
            <w:shd w:val="clear" w:color="auto" w:fill="auto"/>
            <w:noWrap/>
            <w:vAlign w:val="bottom"/>
            <w:hideMark/>
          </w:tcPr>
          <w:p w14:paraId="4A347183"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7</w:t>
            </w:r>
          </w:p>
        </w:tc>
        <w:tc>
          <w:tcPr>
            <w:tcW w:w="2170" w:type="dxa"/>
            <w:tcBorders>
              <w:top w:val="nil"/>
              <w:left w:val="nil"/>
              <w:bottom w:val="nil"/>
              <w:right w:val="nil"/>
            </w:tcBorders>
            <w:shd w:val="clear" w:color="auto" w:fill="auto"/>
            <w:noWrap/>
            <w:vAlign w:val="bottom"/>
            <w:hideMark/>
          </w:tcPr>
          <w:p w14:paraId="58F38847"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37</w:t>
            </w:r>
          </w:p>
        </w:tc>
        <w:tc>
          <w:tcPr>
            <w:tcW w:w="1016" w:type="dxa"/>
            <w:tcBorders>
              <w:top w:val="nil"/>
              <w:left w:val="nil"/>
              <w:bottom w:val="nil"/>
              <w:right w:val="nil"/>
            </w:tcBorders>
            <w:shd w:val="clear" w:color="auto" w:fill="auto"/>
            <w:noWrap/>
            <w:vAlign w:val="bottom"/>
            <w:hideMark/>
          </w:tcPr>
          <w:p w14:paraId="11BFF5E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56.605</w:t>
            </w:r>
          </w:p>
        </w:tc>
        <w:tc>
          <w:tcPr>
            <w:tcW w:w="1203" w:type="dxa"/>
            <w:tcBorders>
              <w:top w:val="nil"/>
              <w:left w:val="nil"/>
              <w:bottom w:val="nil"/>
              <w:right w:val="nil"/>
            </w:tcBorders>
            <w:shd w:val="clear" w:color="auto" w:fill="auto"/>
            <w:noWrap/>
            <w:vAlign w:val="bottom"/>
            <w:hideMark/>
          </w:tcPr>
          <w:p w14:paraId="0C490D77"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-6.123</w:t>
            </w:r>
          </w:p>
        </w:tc>
      </w:tr>
      <w:tr w:rsidR="001F3554" w:rsidRPr="004D4F2F" w14:paraId="2C07B29E"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428943C4"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26F9850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Gleann Dubh, Arran</w:t>
            </w:r>
          </w:p>
        </w:tc>
        <w:tc>
          <w:tcPr>
            <w:tcW w:w="1483" w:type="dxa"/>
            <w:tcBorders>
              <w:top w:val="nil"/>
              <w:left w:val="nil"/>
              <w:bottom w:val="nil"/>
              <w:right w:val="single" w:sz="4" w:space="0" w:color="auto"/>
            </w:tcBorders>
            <w:shd w:val="clear" w:color="auto" w:fill="auto"/>
            <w:noWrap/>
            <w:vAlign w:val="bottom"/>
            <w:hideMark/>
          </w:tcPr>
          <w:p w14:paraId="4D713AAE"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AR</w:t>
            </w:r>
          </w:p>
        </w:tc>
        <w:tc>
          <w:tcPr>
            <w:tcW w:w="1868" w:type="dxa"/>
            <w:tcBorders>
              <w:top w:val="nil"/>
              <w:left w:val="nil"/>
              <w:bottom w:val="nil"/>
              <w:right w:val="nil"/>
            </w:tcBorders>
            <w:shd w:val="clear" w:color="auto" w:fill="auto"/>
            <w:noWrap/>
            <w:vAlign w:val="bottom"/>
            <w:hideMark/>
          </w:tcPr>
          <w:p w14:paraId="0BE4F69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7</w:t>
            </w:r>
          </w:p>
        </w:tc>
        <w:tc>
          <w:tcPr>
            <w:tcW w:w="2170" w:type="dxa"/>
            <w:tcBorders>
              <w:top w:val="nil"/>
              <w:left w:val="nil"/>
              <w:bottom w:val="nil"/>
              <w:right w:val="nil"/>
            </w:tcBorders>
            <w:shd w:val="clear" w:color="auto" w:fill="auto"/>
            <w:noWrap/>
            <w:vAlign w:val="bottom"/>
            <w:hideMark/>
          </w:tcPr>
          <w:p w14:paraId="69D49602"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39</w:t>
            </w:r>
          </w:p>
        </w:tc>
        <w:tc>
          <w:tcPr>
            <w:tcW w:w="1016" w:type="dxa"/>
            <w:tcBorders>
              <w:top w:val="nil"/>
              <w:left w:val="nil"/>
              <w:bottom w:val="nil"/>
              <w:right w:val="nil"/>
            </w:tcBorders>
            <w:shd w:val="clear" w:color="auto" w:fill="auto"/>
            <w:noWrap/>
            <w:vAlign w:val="bottom"/>
            <w:hideMark/>
          </w:tcPr>
          <w:p w14:paraId="1B8BA970"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55.55</w:t>
            </w:r>
          </w:p>
        </w:tc>
        <w:tc>
          <w:tcPr>
            <w:tcW w:w="1203" w:type="dxa"/>
            <w:tcBorders>
              <w:top w:val="nil"/>
              <w:left w:val="nil"/>
              <w:bottom w:val="nil"/>
              <w:right w:val="nil"/>
            </w:tcBorders>
            <w:shd w:val="clear" w:color="auto" w:fill="auto"/>
            <w:noWrap/>
            <w:vAlign w:val="bottom"/>
            <w:hideMark/>
          </w:tcPr>
          <w:p w14:paraId="57EFF7F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-5.202</w:t>
            </w:r>
          </w:p>
        </w:tc>
      </w:tr>
      <w:tr w:rsidR="001F3554" w:rsidRPr="004D4F2F" w14:paraId="112E2E5C"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3E5C179D"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Lake District</w:t>
            </w:r>
          </w:p>
        </w:tc>
        <w:tc>
          <w:tcPr>
            <w:tcW w:w="1610" w:type="dxa"/>
            <w:tcBorders>
              <w:top w:val="nil"/>
              <w:left w:val="nil"/>
              <w:bottom w:val="nil"/>
              <w:right w:val="nil"/>
            </w:tcBorders>
            <w:shd w:val="clear" w:color="auto" w:fill="auto"/>
            <w:noWrap/>
            <w:vAlign w:val="bottom"/>
            <w:hideMark/>
          </w:tcPr>
          <w:p w14:paraId="6E02AF0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Blowick Fell</w:t>
            </w:r>
          </w:p>
        </w:tc>
        <w:tc>
          <w:tcPr>
            <w:tcW w:w="1483" w:type="dxa"/>
            <w:tcBorders>
              <w:top w:val="nil"/>
              <w:left w:val="nil"/>
              <w:bottom w:val="nil"/>
              <w:right w:val="single" w:sz="4" w:space="0" w:color="auto"/>
            </w:tcBorders>
            <w:shd w:val="clear" w:color="auto" w:fill="auto"/>
            <w:noWrap/>
            <w:vAlign w:val="bottom"/>
            <w:hideMark/>
          </w:tcPr>
          <w:p w14:paraId="7802C82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BF</w:t>
            </w:r>
          </w:p>
        </w:tc>
        <w:tc>
          <w:tcPr>
            <w:tcW w:w="1868" w:type="dxa"/>
            <w:tcBorders>
              <w:top w:val="nil"/>
              <w:left w:val="nil"/>
              <w:bottom w:val="nil"/>
              <w:right w:val="nil"/>
            </w:tcBorders>
            <w:shd w:val="clear" w:color="auto" w:fill="auto"/>
            <w:noWrap/>
            <w:vAlign w:val="bottom"/>
            <w:hideMark/>
          </w:tcPr>
          <w:p w14:paraId="1DC5B48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9</w:t>
            </w:r>
          </w:p>
        </w:tc>
        <w:tc>
          <w:tcPr>
            <w:tcW w:w="2170" w:type="dxa"/>
            <w:tcBorders>
              <w:top w:val="nil"/>
              <w:left w:val="nil"/>
              <w:bottom w:val="nil"/>
              <w:right w:val="nil"/>
            </w:tcBorders>
            <w:shd w:val="clear" w:color="auto" w:fill="auto"/>
            <w:noWrap/>
            <w:vAlign w:val="bottom"/>
            <w:hideMark/>
          </w:tcPr>
          <w:p w14:paraId="44AB343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60</w:t>
            </w:r>
          </w:p>
        </w:tc>
        <w:tc>
          <w:tcPr>
            <w:tcW w:w="1016" w:type="dxa"/>
            <w:tcBorders>
              <w:top w:val="nil"/>
              <w:left w:val="nil"/>
              <w:bottom w:val="nil"/>
              <w:right w:val="nil"/>
            </w:tcBorders>
            <w:shd w:val="clear" w:color="auto" w:fill="auto"/>
            <w:noWrap/>
            <w:vAlign w:val="bottom"/>
            <w:hideMark/>
          </w:tcPr>
          <w:p w14:paraId="77003E3C"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54.558</w:t>
            </w:r>
          </w:p>
        </w:tc>
        <w:tc>
          <w:tcPr>
            <w:tcW w:w="1203" w:type="dxa"/>
            <w:tcBorders>
              <w:top w:val="nil"/>
              <w:left w:val="nil"/>
              <w:bottom w:val="nil"/>
              <w:right w:val="nil"/>
            </w:tcBorders>
            <w:shd w:val="clear" w:color="auto" w:fill="auto"/>
            <w:noWrap/>
            <w:vAlign w:val="bottom"/>
            <w:hideMark/>
          </w:tcPr>
          <w:p w14:paraId="5F606C7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-2.931</w:t>
            </w:r>
          </w:p>
        </w:tc>
      </w:tr>
      <w:tr w:rsidR="001F3554" w:rsidRPr="004D4F2F" w14:paraId="5762E132"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33B52F14"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48DBD9D2"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Balnaguard Glen</w:t>
            </w:r>
          </w:p>
        </w:tc>
        <w:tc>
          <w:tcPr>
            <w:tcW w:w="1483" w:type="dxa"/>
            <w:tcBorders>
              <w:top w:val="nil"/>
              <w:left w:val="nil"/>
              <w:bottom w:val="nil"/>
              <w:right w:val="single" w:sz="4" w:space="0" w:color="auto"/>
            </w:tcBorders>
            <w:shd w:val="clear" w:color="auto" w:fill="auto"/>
            <w:noWrap/>
            <w:vAlign w:val="bottom"/>
            <w:hideMark/>
          </w:tcPr>
          <w:p w14:paraId="3540390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BG</w:t>
            </w:r>
          </w:p>
        </w:tc>
        <w:tc>
          <w:tcPr>
            <w:tcW w:w="1868" w:type="dxa"/>
            <w:tcBorders>
              <w:top w:val="nil"/>
              <w:left w:val="nil"/>
              <w:bottom w:val="nil"/>
              <w:right w:val="nil"/>
            </w:tcBorders>
            <w:shd w:val="clear" w:color="auto" w:fill="auto"/>
            <w:noWrap/>
            <w:vAlign w:val="bottom"/>
            <w:hideMark/>
          </w:tcPr>
          <w:p w14:paraId="7BD8EFB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8</w:t>
            </w:r>
          </w:p>
        </w:tc>
        <w:tc>
          <w:tcPr>
            <w:tcW w:w="2170" w:type="dxa"/>
            <w:tcBorders>
              <w:top w:val="nil"/>
              <w:left w:val="nil"/>
              <w:bottom w:val="nil"/>
              <w:right w:val="nil"/>
            </w:tcBorders>
            <w:shd w:val="clear" w:color="auto" w:fill="auto"/>
            <w:noWrap/>
            <w:vAlign w:val="bottom"/>
            <w:hideMark/>
          </w:tcPr>
          <w:p w14:paraId="4C727EA7"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52</w:t>
            </w:r>
          </w:p>
        </w:tc>
        <w:tc>
          <w:tcPr>
            <w:tcW w:w="1016" w:type="dxa"/>
            <w:tcBorders>
              <w:top w:val="nil"/>
              <w:left w:val="nil"/>
              <w:bottom w:val="nil"/>
              <w:right w:val="nil"/>
            </w:tcBorders>
            <w:shd w:val="clear" w:color="auto" w:fill="auto"/>
            <w:noWrap/>
            <w:vAlign w:val="bottom"/>
            <w:hideMark/>
          </w:tcPr>
          <w:p w14:paraId="5F71A7B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56.644</w:t>
            </w:r>
          </w:p>
        </w:tc>
        <w:tc>
          <w:tcPr>
            <w:tcW w:w="1203" w:type="dxa"/>
            <w:tcBorders>
              <w:top w:val="nil"/>
              <w:left w:val="nil"/>
              <w:bottom w:val="nil"/>
              <w:right w:val="nil"/>
            </w:tcBorders>
            <w:shd w:val="clear" w:color="auto" w:fill="auto"/>
            <w:noWrap/>
            <w:vAlign w:val="bottom"/>
            <w:hideMark/>
          </w:tcPr>
          <w:p w14:paraId="263B98D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-3.73</w:t>
            </w:r>
          </w:p>
        </w:tc>
      </w:tr>
      <w:tr w:rsidR="001F3554" w:rsidRPr="004D4F2F" w14:paraId="2EF53AFF"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07660F63"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 England</w:t>
            </w:r>
          </w:p>
        </w:tc>
        <w:tc>
          <w:tcPr>
            <w:tcW w:w="1610" w:type="dxa"/>
            <w:tcBorders>
              <w:top w:val="nil"/>
              <w:left w:val="nil"/>
              <w:bottom w:val="nil"/>
              <w:right w:val="nil"/>
            </w:tcBorders>
            <w:shd w:val="clear" w:color="auto" w:fill="auto"/>
            <w:noWrap/>
            <w:vAlign w:val="bottom"/>
            <w:hideMark/>
          </w:tcPr>
          <w:p w14:paraId="716902B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Bulford Hill</w:t>
            </w:r>
          </w:p>
        </w:tc>
        <w:tc>
          <w:tcPr>
            <w:tcW w:w="1483" w:type="dxa"/>
            <w:tcBorders>
              <w:top w:val="nil"/>
              <w:left w:val="nil"/>
              <w:bottom w:val="nil"/>
              <w:right w:val="single" w:sz="4" w:space="0" w:color="auto"/>
            </w:tcBorders>
            <w:shd w:val="clear" w:color="auto" w:fill="auto"/>
            <w:noWrap/>
            <w:vAlign w:val="bottom"/>
            <w:hideMark/>
          </w:tcPr>
          <w:p w14:paraId="649AC1D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BH</w:t>
            </w:r>
          </w:p>
        </w:tc>
        <w:tc>
          <w:tcPr>
            <w:tcW w:w="1868" w:type="dxa"/>
            <w:tcBorders>
              <w:top w:val="nil"/>
              <w:left w:val="nil"/>
              <w:bottom w:val="nil"/>
              <w:right w:val="nil"/>
            </w:tcBorders>
            <w:shd w:val="clear" w:color="auto" w:fill="auto"/>
            <w:noWrap/>
            <w:vAlign w:val="bottom"/>
            <w:hideMark/>
          </w:tcPr>
          <w:p w14:paraId="200BED90"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w:t>
            </w:r>
          </w:p>
        </w:tc>
        <w:tc>
          <w:tcPr>
            <w:tcW w:w="2170" w:type="dxa"/>
            <w:tcBorders>
              <w:top w:val="nil"/>
              <w:left w:val="nil"/>
              <w:bottom w:val="nil"/>
              <w:right w:val="nil"/>
            </w:tcBorders>
            <w:shd w:val="clear" w:color="auto" w:fill="auto"/>
            <w:noWrap/>
            <w:vAlign w:val="bottom"/>
            <w:hideMark/>
          </w:tcPr>
          <w:p w14:paraId="04A5829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12</w:t>
            </w:r>
          </w:p>
        </w:tc>
        <w:tc>
          <w:tcPr>
            <w:tcW w:w="1016" w:type="dxa"/>
            <w:tcBorders>
              <w:top w:val="nil"/>
              <w:left w:val="nil"/>
              <w:bottom w:val="nil"/>
              <w:right w:val="nil"/>
            </w:tcBorders>
            <w:shd w:val="clear" w:color="auto" w:fill="auto"/>
            <w:noWrap/>
            <w:vAlign w:val="bottom"/>
            <w:hideMark/>
          </w:tcPr>
          <w:p w14:paraId="5C8F5CBA"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51.204</w:t>
            </w:r>
          </w:p>
        </w:tc>
        <w:tc>
          <w:tcPr>
            <w:tcW w:w="1203" w:type="dxa"/>
            <w:tcBorders>
              <w:top w:val="nil"/>
              <w:left w:val="nil"/>
              <w:bottom w:val="nil"/>
              <w:right w:val="nil"/>
            </w:tcBorders>
            <w:shd w:val="clear" w:color="auto" w:fill="auto"/>
            <w:noWrap/>
            <w:vAlign w:val="bottom"/>
            <w:hideMark/>
          </w:tcPr>
          <w:p w14:paraId="02E53A2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-1.7</w:t>
            </w:r>
          </w:p>
        </w:tc>
      </w:tr>
      <w:tr w:rsidR="001F3554" w:rsidRPr="004D4F2F" w14:paraId="067809F2"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10E50509"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Lake District</w:t>
            </w:r>
          </w:p>
        </w:tc>
        <w:tc>
          <w:tcPr>
            <w:tcW w:w="1610" w:type="dxa"/>
            <w:tcBorders>
              <w:top w:val="nil"/>
              <w:left w:val="nil"/>
              <w:bottom w:val="nil"/>
              <w:right w:val="nil"/>
            </w:tcBorders>
            <w:shd w:val="clear" w:color="auto" w:fill="auto"/>
            <w:noWrap/>
            <w:vAlign w:val="bottom"/>
            <w:hideMark/>
          </w:tcPr>
          <w:p w14:paraId="3CFEDDD2"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Blea Tarn</w:t>
            </w:r>
          </w:p>
        </w:tc>
        <w:tc>
          <w:tcPr>
            <w:tcW w:w="1483" w:type="dxa"/>
            <w:tcBorders>
              <w:top w:val="nil"/>
              <w:left w:val="nil"/>
              <w:bottom w:val="nil"/>
              <w:right w:val="single" w:sz="4" w:space="0" w:color="auto"/>
            </w:tcBorders>
            <w:shd w:val="clear" w:color="auto" w:fill="auto"/>
            <w:noWrap/>
            <w:vAlign w:val="bottom"/>
            <w:hideMark/>
          </w:tcPr>
          <w:p w14:paraId="189099E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BT</w:t>
            </w:r>
          </w:p>
        </w:tc>
        <w:tc>
          <w:tcPr>
            <w:tcW w:w="1868" w:type="dxa"/>
            <w:tcBorders>
              <w:top w:val="nil"/>
              <w:left w:val="nil"/>
              <w:bottom w:val="nil"/>
              <w:right w:val="nil"/>
            </w:tcBorders>
            <w:shd w:val="clear" w:color="auto" w:fill="auto"/>
            <w:noWrap/>
            <w:vAlign w:val="bottom"/>
            <w:hideMark/>
          </w:tcPr>
          <w:p w14:paraId="7E6E14BA"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8</w:t>
            </w:r>
          </w:p>
        </w:tc>
        <w:tc>
          <w:tcPr>
            <w:tcW w:w="2170" w:type="dxa"/>
            <w:tcBorders>
              <w:top w:val="nil"/>
              <w:left w:val="nil"/>
              <w:bottom w:val="nil"/>
              <w:right w:val="nil"/>
            </w:tcBorders>
            <w:shd w:val="clear" w:color="auto" w:fill="auto"/>
            <w:noWrap/>
            <w:vAlign w:val="bottom"/>
            <w:hideMark/>
          </w:tcPr>
          <w:p w14:paraId="601E188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45</w:t>
            </w:r>
          </w:p>
        </w:tc>
        <w:tc>
          <w:tcPr>
            <w:tcW w:w="1016" w:type="dxa"/>
            <w:tcBorders>
              <w:top w:val="nil"/>
              <w:left w:val="nil"/>
              <w:bottom w:val="nil"/>
              <w:right w:val="nil"/>
            </w:tcBorders>
            <w:shd w:val="clear" w:color="auto" w:fill="auto"/>
            <w:noWrap/>
            <w:vAlign w:val="bottom"/>
            <w:hideMark/>
          </w:tcPr>
          <w:p w14:paraId="7DA00812"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54.426</w:t>
            </w:r>
          </w:p>
        </w:tc>
        <w:tc>
          <w:tcPr>
            <w:tcW w:w="1203" w:type="dxa"/>
            <w:tcBorders>
              <w:top w:val="nil"/>
              <w:left w:val="nil"/>
              <w:bottom w:val="nil"/>
              <w:right w:val="nil"/>
            </w:tcBorders>
            <w:shd w:val="clear" w:color="auto" w:fill="auto"/>
            <w:noWrap/>
            <w:vAlign w:val="bottom"/>
            <w:hideMark/>
          </w:tcPr>
          <w:p w14:paraId="7F62A59A"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-3.088</w:t>
            </w:r>
          </w:p>
        </w:tc>
      </w:tr>
      <w:tr w:rsidR="001F3554" w:rsidRPr="004D4F2F" w14:paraId="48CE2DBE"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46224C46"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2CD4FE9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Dundreggan</w:t>
            </w:r>
          </w:p>
        </w:tc>
        <w:tc>
          <w:tcPr>
            <w:tcW w:w="1483" w:type="dxa"/>
            <w:tcBorders>
              <w:top w:val="nil"/>
              <w:left w:val="nil"/>
              <w:bottom w:val="nil"/>
              <w:right w:val="single" w:sz="4" w:space="0" w:color="auto"/>
            </w:tcBorders>
            <w:shd w:val="clear" w:color="auto" w:fill="auto"/>
            <w:noWrap/>
            <w:vAlign w:val="bottom"/>
            <w:hideMark/>
          </w:tcPr>
          <w:p w14:paraId="02377C37"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DD</w:t>
            </w:r>
          </w:p>
        </w:tc>
        <w:tc>
          <w:tcPr>
            <w:tcW w:w="1868" w:type="dxa"/>
            <w:tcBorders>
              <w:top w:val="nil"/>
              <w:left w:val="nil"/>
              <w:bottom w:val="nil"/>
              <w:right w:val="nil"/>
            </w:tcBorders>
            <w:shd w:val="clear" w:color="auto" w:fill="auto"/>
            <w:noWrap/>
            <w:vAlign w:val="bottom"/>
            <w:hideMark/>
          </w:tcPr>
          <w:p w14:paraId="25A4F48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w:t>
            </w:r>
          </w:p>
        </w:tc>
        <w:tc>
          <w:tcPr>
            <w:tcW w:w="2170" w:type="dxa"/>
            <w:tcBorders>
              <w:top w:val="nil"/>
              <w:left w:val="nil"/>
              <w:bottom w:val="nil"/>
              <w:right w:val="nil"/>
            </w:tcBorders>
            <w:shd w:val="clear" w:color="auto" w:fill="auto"/>
            <w:noWrap/>
            <w:vAlign w:val="bottom"/>
            <w:hideMark/>
          </w:tcPr>
          <w:p w14:paraId="4446329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11</w:t>
            </w:r>
          </w:p>
        </w:tc>
        <w:tc>
          <w:tcPr>
            <w:tcW w:w="1016" w:type="dxa"/>
            <w:tcBorders>
              <w:top w:val="nil"/>
              <w:left w:val="nil"/>
              <w:bottom w:val="nil"/>
              <w:right w:val="nil"/>
            </w:tcBorders>
            <w:shd w:val="clear" w:color="auto" w:fill="auto"/>
            <w:noWrap/>
            <w:vAlign w:val="bottom"/>
            <w:hideMark/>
          </w:tcPr>
          <w:p w14:paraId="540ECCC0"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57.185</w:t>
            </w:r>
          </w:p>
        </w:tc>
        <w:tc>
          <w:tcPr>
            <w:tcW w:w="1203" w:type="dxa"/>
            <w:tcBorders>
              <w:top w:val="nil"/>
              <w:left w:val="nil"/>
              <w:bottom w:val="nil"/>
              <w:right w:val="nil"/>
            </w:tcBorders>
            <w:shd w:val="clear" w:color="auto" w:fill="auto"/>
            <w:noWrap/>
            <w:vAlign w:val="bottom"/>
            <w:hideMark/>
          </w:tcPr>
          <w:p w14:paraId="56D1C70D"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-4.79</w:t>
            </w:r>
          </w:p>
        </w:tc>
      </w:tr>
      <w:tr w:rsidR="001F3554" w:rsidRPr="004D4F2F" w14:paraId="6802CA24"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28BD9AB5"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0CE4CC93"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Fasnakyle</w:t>
            </w:r>
          </w:p>
        </w:tc>
        <w:tc>
          <w:tcPr>
            <w:tcW w:w="1483" w:type="dxa"/>
            <w:tcBorders>
              <w:top w:val="nil"/>
              <w:left w:val="nil"/>
              <w:bottom w:val="nil"/>
              <w:right w:val="single" w:sz="4" w:space="0" w:color="auto"/>
            </w:tcBorders>
            <w:shd w:val="clear" w:color="auto" w:fill="auto"/>
            <w:noWrap/>
            <w:vAlign w:val="bottom"/>
            <w:hideMark/>
          </w:tcPr>
          <w:p w14:paraId="4088ED6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FK</w:t>
            </w:r>
          </w:p>
        </w:tc>
        <w:tc>
          <w:tcPr>
            <w:tcW w:w="1868" w:type="dxa"/>
            <w:tcBorders>
              <w:top w:val="nil"/>
              <w:left w:val="nil"/>
              <w:bottom w:val="nil"/>
              <w:right w:val="nil"/>
            </w:tcBorders>
            <w:shd w:val="clear" w:color="auto" w:fill="auto"/>
            <w:noWrap/>
            <w:vAlign w:val="bottom"/>
            <w:hideMark/>
          </w:tcPr>
          <w:p w14:paraId="6009807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w:t>
            </w:r>
          </w:p>
        </w:tc>
        <w:tc>
          <w:tcPr>
            <w:tcW w:w="2170" w:type="dxa"/>
            <w:tcBorders>
              <w:top w:val="nil"/>
              <w:left w:val="nil"/>
              <w:bottom w:val="nil"/>
              <w:right w:val="nil"/>
            </w:tcBorders>
            <w:shd w:val="clear" w:color="auto" w:fill="auto"/>
            <w:noWrap/>
            <w:vAlign w:val="bottom"/>
            <w:hideMark/>
          </w:tcPr>
          <w:p w14:paraId="6792E19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w:t>
            </w:r>
          </w:p>
        </w:tc>
        <w:tc>
          <w:tcPr>
            <w:tcW w:w="1016" w:type="dxa"/>
            <w:tcBorders>
              <w:top w:val="nil"/>
              <w:left w:val="nil"/>
              <w:bottom w:val="nil"/>
              <w:right w:val="nil"/>
            </w:tcBorders>
            <w:shd w:val="clear" w:color="auto" w:fill="auto"/>
            <w:noWrap/>
            <w:vAlign w:val="bottom"/>
            <w:hideMark/>
          </w:tcPr>
          <w:p w14:paraId="08E6830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57.336</w:t>
            </w:r>
          </w:p>
        </w:tc>
        <w:tc>
          <w:tcPr>
            <w:tcW w:w="1203" w:type="dxa"/>
            <w:tcBorders>
              <w:top w:val="nil"/>
              <w:left w:val="nil"/>
              <w:bottom w:val="nil"/>
              <w:right w:val="nil"/>
            </w:tcBorders>
            <w:shd w:val="clear" w:color="auto" w:fill="auto"/>
            <w:noWrap/>
            <w:vAlign w:val="bottom"/>
            <w:hideMark/>
          </w:tcPr>
          <w:p w14:paraId="0E3D7D7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-4.849</w:t>
            </w:r>
          </w:p>
        </w:tc>
      </w:tr>
      <w:tr w:rsidR="001F3554" w:rsidRPr="004D4F2F" w14:paraId="07288A02" w14:textId="77777777" w:rsidTr="00EB1595">
        <w:trPr>
          <w:trHeight w:val="384"/>
          <w:jc w:val="center"/>
        </w:trPr>
        <w:tc>
          <w:tcPr>
            <w:tcW w:w="1418" w:type="dxa"/>
            <w:tcBorders>
              <w:top w:val="nil"/>
              <w:left w:val="nil"/>
              <w:bottom w:val="nil"/>
              <w:right w:val="nil"/>
            </w:tcBorders>
            <w:shd w:val="clear" w:color="auto" w:fill="auto"/>
            <w:noWrap/>
            <w:vAlign w:val="bottom"/>
            <w:hideMark/>
          </w:tcPr>
          <w:p w14:paraId="4E11C2B6"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1A678EB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Glen Artney</w:t>
            </w:r>
          </w:p>
        </w:tc>
        <w:tc>
          <w:tcPr>
            <w:tcW w:w="1483" w:type="dxa"/>
            <w:tcBorders>
              <w:top w:val="nil"/>
              <w:left w:val="nil"/>
              <w:bottom w:val="nil"/>
              <w:right w:val="single" w:sz="4" w:space="0" w:color="auto"/>
            </w:tcBorders>
            <w:shd w:val="clear" w:color="auto" w:fill="auto"/>
            <w:noWrap/>
            <w:vAlign w:val="bottom"/>
            <w:hideMark/>
          </w:tcPr>
          <w:p w14:paraId="11DAF11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GA</w:t>
            </w:r>
          </w:p>
        </w:tc>
        <w:tc>
          <w:tcPr>
            <w:tcW w:w="1868" w:type="dxa"/>
            <w:tcBorders>
              <w:top w:val="nil"/>
              <w:left w:val="nil"/>
              <w:bottom w:val="nil"/>
              <w:right w:val="nil"/>
            </w:tcBorders>
            <w:shd w:val="clear" w:color="auto" w:fill="auto"/>
            <w:noWrap/>
            <w:vAlign w:val="bottom"/>
            <w:hideMark/>
          </w:tcPr>
          <w:p w14:paraId="175F43A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7</w:t>
            </w:r>
          </w:p>
        </w:tc>
        <w:tc>
          <w:tcPr>
            <w:tcW w:w="2170" w:type="dxa"/>
            <w:tcBorders>
              <w:top w:val="nil"/>
              <w:left w:val="nil"/>
              <w:bottom w:val="nil"/>
              <w:right w:val="nil"/>
            </w:tcBorders>
            <w:shd w:val="clear" w:color="auto" w:fill="auto"/>
            <w:noWrap/>
            <w:vAlign w:val="bottom"/>
            <w:hideMark/>
          </w:tcPr>
          <w:p w14:paraId="3CB2A6F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45</w:t>
            </w:r>
          </w:p>
        </w:tc>
        <w:tc>
          <w:tcPr>
            <w:tcW w:w="1016" w:type="dxa"/>
            <w:tcBorders>
              <w:top w:val="nil"/>
              <w:left w:val="nil"/>
              <w:bottom w:val="nil"/>
              <w:right w:val="nil"/>
            </w:tcBorders>
            <w:shd w:val="clear" w:color="auto" w:fill="auto"/>
            <w:noWrap/>
            <w:vAlign w:val="bottom"/>
            <w:hideMark/>
          </w:tcPr>
          <w:p w14:paraId="2CBC615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56.34</w:t>
            </w:r>
          </w:p>
        </w:tc>
        <w:tc>
          <w:tcPr>
            <w:tcW w:w="1203" w:type="dxa"/>
            <w:tcBorders>
              <w:top w:val="nil"/>
              <w:left w:val="nil"/>
              <w:bottom w:val="nil"/>
              <w:right w:val="nil"/>
            </w:tcBorders>
            <w:shd w:val="clear" w:color="auto" w:fill="auto"/>
            <w:noWrap/>
            <w:vAlign w:val="bottom"/>
            <w:hideMark/>
          </w:tcPr>
          <w:p w14:paraId="51F034D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-3.996</w:t>
            </w:r>
          </w:p>
        </w:tc>
      </w:tr>
      <w:tr w:rsidR="001F3554" w:rsidRPr="004D4F2F" w14:paraId="01E06222"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3943170A"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5DD7A9D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Invernaver</w:t>
            </w:r>
          </w:p>
        </w:tc>
        <w:tc>
          <w:tcPr>
            <w:tcW w:w="1483" w:type="dxa"/>
            <w:tcBorders>
              <w:top w:val="nil"/>
              <w:left w:val="nil"/>
              <w:bottom w:val="nil"/>
              <w:right w:val="single" w:sz="4" w:space="0" w:color="auto"/>
            </w:tcBorders>
            <w:shd w:val="clear" w:color="auto" w:fill="auto"/>
            <w:noWrap/>
            <w:vAlign w:val="bottom"/>
            <w:hideMark/>
          </w:tcPr>
          <w:p w14:paraId="359B29FE"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IN</w:t>
            </w:r>
          </w:p>
        </w:tc>
        <w:tc>
          <w:tcPr>
            <w:tcW w:w="1868" w:type="dxa"/>
            <w:tcBorders>
              <w:top w:val="nil"/>
              <w:left w:val="nil"/>
              <w:bottom w:val="nil"/>
              <w:right w:val="nil"/>
            </w:tcBorders>
            <w:shd w:val="clear" w:color="auto" w:fill="auto"/>
            <w:noWrap/>
            <w:vAlign w:val="bottom"/>
            <w:hideMark/>
          </w:tcPr>
          <w:p w14:paraId="1CA6D86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w:t>
            </w:r>
          </w:p>
        </w:tc>
        <w:tc>
          <w:tcPr>
            <w:tcW w:w="2170" w:type="dxa"/>
            <w:tcBorders>
              <w:top w:val="nil"/>
              <w:left w:val="nil"/>
              <w:bottom w:val="nil"/>
              <w:right w:val="nil"/>
            </w:tcBorders>
            <w:shd w:val="clear" w:color="auto" w:fill="auto"/>
            <w:noWrap/>
            <w:vAlign w:val="bottom"/>
            <w:hideMark/>
          </w:tcPr>
          <w:p w14:paraId="47C8CD2C"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14</w:t>
            </w:r>
          </w:p>
        </w:tc>
        <w:tc>
          <w:tcPr>
            <w:tcW w:w="1016" w:type="dxa"/>
            <w:tcBorders>
              <w:top w:val="nil"/>
              <w:left w:val="nil"/>
              <w:bottom w:val="nil"/>
              <w:right w:val="nil"/>
            </w:tcBorders>
            <w:shd w:val="clear" w:color="auto" w:fill="auto"/>
            <w:noWrap/>
            <w:vAlign w:val="bottom"/>
            <w:hideMark/>
          </w:tcPr>
          <w:p w14:paraId="7D73DE1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58.521</w:t>
            </w:r>
          </w:p>
        </w:tc>
        <w:tc>
          <w:tcPr>
            <w:tcW w:w="1203" w:type="dxa"/>
            <w:tcBorders>
              <w:top w:val="nil"/>
              <w:left w:val="nil"/>
              <w:bottom w:val="nil"/>
              <w:right w:val="nil"/>
            </w:tcBorders>
            <w:shd w:val="clear" w:color="auto" w:fill="auto"/>
            <w:noWrap/>
            <w:vAlign w:val="bottom"/>
            <w:hideMark/>
          </w:tcPr>
          <w:p w14:paraId="611BC84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-4.256</w:t>
            </w:r>
          </w:p>
        </w:tc>
      </w:tr>
      <w:tr w:rsidR="001F3554" w:rsidRPr="004D4F2F" w14:paraId="65E6059C"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18216741"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5482E53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Lammermuirs</w:t>
            </w:r>
          </w:p>
        </w:tc>
        <w:tc>
          <w:tcPr>
            <w:tcW w:w="1483" w:type="dxa"/>
            <w:tcBorders>
              <w:top w:val="nil"/>
              <w:left w:val="nil"/>
              <w:bottom w:val="nil"/>
              <w:right w:val="single" w:sz="4" w:space="0" w:color="auto"/>
            </w:tcBorders>
            <w:shd w:val="clear" w:color="auto" w:fill="auto"/>
            <w:noWrap/>
            <w:vAlign w:val="bottom"/>
            <w:hideMark/>
          </w:tcPr>
          <w:p w14:paraId="3CA0F74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LM</w:t>
            </w:r>
          </w:p>
        </w:tc>
        <w:tc>
          <w:tcPr>
            <w:tcW w:w="1868" w:type="dxa"/>
            <w:tcBorders>
              <w:top w:val="nil"/>
              <w:left w:val="nil"/>
              <w:bottom w:val="nil"/>
              <w:right w:val="nil"/>
            </w:tcBorders>
            <w:shd w:val="clear" w:color="auto" w:fill="auto"/>
            <w:noWrap/>
            <w:vAlign w:val="bottom"/>
            <w:hideMark/>
          </w:tcPr>
          <w:p w14:paraId="063A44E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9</w:t>
            </w:r>
          </w:p>
        </w:tc>
        <w:tc>
          <w:tcPr>
            <w:tcW w:w="2170" w:type="dxa"/>
            <w:tcBorders>
              <w:top w:val="nil"/>
              <w:left w:val="nil"/>
              <w:bottom w:val="nil"/>
              <w:right w:val="nil"/>
            </w:tcBorders>
            <w:shd w:val="clear" w:color="auto" w:fill="auto"/>
            <w:noWrap/>
            <w:vAlign w:val="bottom"/>
            <w:hideMark/>
          </w:tcPr>
          <w:p w14:paraId="0471B53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54</w:t>
            </w:r>
          </w:p>
        </w:tc>
        <w:tc>
          <w:tcPr>
            <w:tcW w:w="1016" w:type="dxa"/>
            <w:tcBorders>
              <w:top w:val="nil"/>
              <w:left w:val="nil"/>
              <w:bottom w:val="nil"/>
              <w:right w:val="nil"/>
            </w:tcBorders>
            <w:shd w:val="clear" w:color="auto" w:fill="auto"/>
            <w:noWrap/>
            <w:vAlign w:val="bottom"/>
            <w:hideMark/>
          </w:tcPr>
          <w:p w14:paraId="19420FBF"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55.853</w:t>
            </w:r>
          </w:p>
        </w:tc>
        <w:tc>
          <w:tcPr>
            <w:tcW w:w="1203" w:type="dxa"/>
            <w:tcBorders>
              <w:top w:val="nil"/>
              <w:left w:val="nil"/>
              <w:bottom w:val="nil"/>
              <w:right w:val="nil"/>
            </w:tcBorders>
            <w:shd w:val="clear" w:color="auto" w:fill="auto"/>
            <w:noWrap/>
            <w:vAlign w:val="bottom"/>
            <w:hideMark/>
          </w:tcPr>
          <w:p w14:paraId="1662C32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-2.71</w:t>
            </w:r>
          </w:p>
        </w:tc>
      </w:tr>
      <w:tr w:rsidR="001F3554" w:rsidRPr="004D4F2F" w14:paraId="58CB3FD7"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44722C54"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6B1B799D"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Morrone Birkwood</w:t>
            </w:r>
          </w:p>
        </w:tc>
        <w:tc>
          <w:tcPr>
            <w:tcW w:w="1483" w:type="dxa"/>
            <w:tcBorders>
              <w:top w:val="nil"/>
              <w:left w:val="nil"/>
              <w:bottom w:val="nil"/>
              <w:right w:val="single" w:sz="4" w:space="0" w:color="auto"/>
            </w:tcBorders>
            <w:shd w:val="clear" w:color="auto" w:fill="auto"/>
            <w:noWrap/>
            <w:vAlign w:val="bottom"/>
            <w:hideMark/>
          </w:tcPr>
          <w:p w14:paraId="181579D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MB</w:t>
            </w:r>
          </w:p>
        </w:tc>
        <w:tc>
          <w:tcPr>
            <w:tcW w:w="1868" w:type="dxa"/>
            <w:tcBorders>
              <w:top w:val="nil"/>
              <w:left w:val="nil"/>
              <w:bottom w:val="nil"/>
              <w:right w:val="nil"/>
            </w:tcBorders>
            <w:shd w:val="clear" w:color="auto" w:fill="auto"/>
            <w:noWrap/>
            <w:vAlign w:val="bottom"/>
            <w:hideMark/>
          </w:tcPr>
          <w:p w14:paraId="0AF0060D"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w:t>
            </w:r>
          </w:p>
        </w:tc>
        <w:tc>
          <w:tcPr>
            <w:tcW w:w="2170" w:type="dxa"/>
            <w:tcBorders>
              <w:top w:val="nil"/>
              <w:left w:val="nil"/>
              <w:bottom w:val="nil"/>
              <w:right w:val="nil"/>
            </w:tcBorders>
            <w:shd w:val="clear" w:color="auto" w:fill="auto"/>
            <w:noWrap/>
            <w:vAlign w:val="bottom"/>
            <w:hideMark/>
          </w:tcPr>
          <w:p w14:paraId="3524C52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29</w:t>
            </w:r>
          </w:p>
        </w:tc>
        <w:tc>
          <w:tcPr>
            <w:tcW w:w="1016" w:type="dxa"/>
            <w:tcBorders>
              <w:top w:val="nil"/>
              <w:left w:val="nil"/>
              <w:bottom w:val="nil"/>
              <w:right w:val="nil"/>
            </w:tcBorders>
            <w:shd w:val="clear" w:color="auto" w:fill="auto"/>
            <w:noWrap/>
            <w:vAlign w:val="bottom"/>
            <w:hideMark/>
          </w:tcPr>
          <w:p w14:paraId="5EABB43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56.998</w:t>
            </w:r>
          </w:p>
        </w:tc>
        <w:tc>
          <w:tcPr>
            <w:tcW w:w="1203" w:type="dxa"/>
            <w:tcBorders>
              <w:top w:val="nil"/>
              <w:left w:val="nil"/>
              <w:bottom w:val="nil"/>
              <w:right w:val="nil"/>
            </w:tcBorders>
            <w:shd w:val="clear" w:color="auto" w:fill="auto"/>
            <w:noWrap/>
            <w:vAlign w:val="bottom"/>
            <w:hideMark/>
          </w:tcPr>
          <w:p w14:paraId="7C2CABE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-3.426</w:t>
            </w:r>
          </w:p>
        </w:tc>
      </w:tr>
      <w:tr w:rsidR="001F3554" w:rsidRPr="004D4F2F" w14:paraId="530C3D56"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085CF83F"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 England</w:t>
            </w:r>
          </w:p>
        </w:tc>
        <w:tc>
          <w:tcPr>
            <w:tcW w:w="1610" w:type="dxa"/>
            <w:tcBorders>
              <w:top w:val="nil"/>
              <w:left w:val="nil"/>
              <w:bottom w:val="nil"/>
              <w:right w:val="nil"/>
            </w:tcBorders>
            <w:shd w:val="clear" w:color="auto" w:fill="auto"/>
            <w:noWrap/>
            <w:vAlign w:val="bottom"/>
            <w:hideMark/>
          </w:tcPr>
          <w:p w14:paraId="71AC33E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Porton Down</w:t>
            </w:r>
          </w:p>
        </w:tc>
        <w:tc>
          <w:tcPr>
            <w:tcW w:w="1483" w:type="dxa"/>
            <w:tcBorders>
              <w:top w:val="nil"/>
              <w:left w:val="nil"/>
              <w:bottom w:val="nil"/>
              <w:right w:val="single" w:sz="4" w:space="0" w:color="auto"/>
            </w:tcBorders>
            <w:shd w:val="clear" w:color="auto" w:fill="auto"/>
            <w:noWrap/>
            <w:vAlign w:val="bottom"/>
            <w:hideMark/>
          </w:tcPr>
          <w:p w14:paraId="764FBC1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PD</w:t>
            </w:r>
          </w:p>
        </w:tc>
        <w:tc>
          <w:tcPr>
            <w:tcW w:w="1868" w:type="dxa"/>
            <w:tcBorders>
              <w:top w:val="nil"/>
              <w:left w:val="nil"/>
              <w:bottom w:val="nil"/>
              <w:right w:val="nil"/>
            </w:tcBorders>
            <w:shd w:val="clear" w:color="auto" w:fill="auto"/>
            <w:noWrap/>
            <w:vAlign w:val="bottom"/>
            <w:hideMark/>
          </w:tcPr>
          <w:p w14:paraId="6BEEDD52"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w:t>
            </w:r>
          </w:p>
        </w:tc>
        <w:tc>
          <w:tcPr>
            <w:tcW w:w="2170" w:type="dxa"/>
            <w:tcBorders>
              <w:top w:val="nil"/>
              <w:left w:val="nil"/>
              <w:bottom w:val="nil"/>
              <w:right w:val="nil"/>
            </w:tcBorders>
            <w:shd w:val="clear" w:color="auto" w:fill="auto"/>
            <w:noWrap/>
            <w:vAlign w:val="bottom"/>
            <w:hideMark/>
          </w:tcPr>
          <w:p w14:paraId="45AD8A73"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w:t>
            </w:r>
          </w:p>
        </w:tc>
        <w:tc>
          <w:tcPr>
            <w:tcW w:w="1016" w:type="dxa"/>
            <w:tcBorders>
              <w:top w:val="nil"/>
              <w:left w:val="nil"/>
              <w:bottom w:val="nil"/>
              <w:right w:val="nil"/>
            </w:tcBorders>
            <w:shd w:val="clear" w:color="auto" w:fill="auto"/>
            <w:noWrap/>
            <w:vAlign w:val="bottom"/>
            <w:hideMark/>
          </w:tcPr>
          <w:p w14:paraId="2DA53AC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51.138</w:t>
            </w:r>
          </w:p>
        </w:tc>
        <w:tc>
          <w:tcPr>
            <w:tcW w:w="1203" w:type="dxa"/>
            <w:tcBorders>
              <w:top w:val="nil"/>
              <w:left w:val="nil"/>
              <w:bottom w:val="nil"/>
              <w:right w:val="nil"/>
            </w:tcBorders>
            <w:shd w:val="clear" w:color="auto" w:fill="auto"/>
            <w:noWrap/>
            <w:vAlign w:val="bottom"/>
            <w:hideMark/>
          </w:tcPr>
          <w:p w14:paraId="36CC34A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-1.652</w:t>
            </w:r>
          </w:p>
        </w:tc>
      </w:tr>
      <w:tr w:rsidR="001F3554" w:rsidRPr="004D4F2F" w14:paraId="4F6EC5E5"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1799EA34"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Lake District</w:t>
            </w:r>
          </w:p>
        </w:tc>
        <w:tc>
          <w:tcPr>
            <w:tcW w:w="1610" w:type="dxa"/>
            <w:tcBorders>
              <w:top w:val="nil"/>
              <w:left w:val="nil"/>
              <w:bottom w:val="nil"/>
              <w:right w:val="nil"/>
            </w:tcBorders>
            <w:shd w:val="clear" w:color="auto" w:fill="auto"/>
            <w:noWrap/>
            <w:vAlign w:val="bottom"/>
            <w:hideMark/>
          </w:tcPr>
          <w:p w14:paraId="06BA9E3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Thwaites Fell</w:t>
            </w:r>
          </w:p>
        </w:tc>
        <w:tc>
          <w:tcPr>
            <w:tcW w:w="1483" w:type="dxa"/>
            <w:tcBorders>
              <w:top w:val="nil"/>
              <w:left w:val="nil"/>
              <w:bottom w:val="nil"/>
              <w:right w:val="single" w:sz="4" w:space="0" w:color="auto"/>
            </w:tcBorders>
            <w:shd w:val="clear" w:color="auto" w:fill="auto"/>
            <w:noWrap/>
            <w:vAlign w:val="bottom"/>
            <w:hideMark/>
          </w:tcPr>
          <w:p w14:paraId="4053745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TF</w:t>
            </w:r>
          </w:p>
        </w:tc>
        <w:tc>
          <w:tcPr>
            <w:tcW w:w="1868" w:type="dxa"/>
            <w:tcBorders>
              <w:top w:val="nil"/>
              <w:left w:val="nil"/>
              <w:bottom w:val="nil"/>
              <w:right w:val="nil"/>
            </w:tcBorders>
            <w:shd w:val="clear" w:color="auto" w:fill="auto"/>
            <w:noWrap/>
            <w:vAlign w:val="bottom"/>
            <w:hideMark/>
          </w:tcPr>
          <w:p w14:paraId="5CA35D2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11</w:t>
            </w:r>
          </w:p>
        </w:tc>
        <w:tc>
          <w:tcPr>
            <w:tcW w:w="2170" w:type="dxa"/>
            <w:tcBorders>
              <w:top w:val="nil"/>
              <w:left w:val="nil"/>
              <w:bottom w:val="nil"/>
              <w:right w:val="nil"/>
            </w:tcBorders>
            <w:shd w:val="clear" w:color="auto" w:fill="auto"/>
            <w:noWrap/>
            <w:vAlign w:val="bottom"/>
            <w:hideMark/>
          </w:tcPr>
          <w:p w14:paraId="0239DE24"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73</w:t>
            </w:r>
          </w:p>
        </w:tc>
        <w:tc>
          <w:tcPr>
            <w:tcW w:w="1016" w:type="dxa"/>
            <w:tcBorders>
              <w:top w:val="nil"/>
              <w:left w:val="nil"/>
              <w:bottom w:val="nil"/>
              <w:right w:val="nil"/>
            </w:tcBorders>
            <w:shd w:val="clear" w:color="auto" w:fill="auto"/>
            <w:noWrap/>
            <w:vAlign w:val="bottom"/>
            <w:hideMark/>
          </w:tcPr>
          <w:p w14:paraId="010BC24E"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54.302</w:t>
            </w:r>
          </w:p>
        </w:tc>
        <w:tc>
          <w:tcPr>
            <w:tcW w:w="1203" w:type="dxa"/>
            <w:tcBorders>
              <w:top w:val="nil"/>
              <w:left w:val="nil"/>
              <w:bottom w:val="nil"/>
              <w:right w:val="nil"/>
            </w:tcBorders>
            <w:shd w:val="clear" w:color="auto" w:fill="auto"/>
            <w:noWrap/>
            <w:vAlign w:val="bottom"/>
            <w:hideMark/>
          </w:tcPr>
          <w:p w14:paraId="3B29D8CB"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-3.263</w:t>
            </w:r>
          </w:p>
        </w:tc>
      </w:tr>
      <w:tr w:rsidR="001F3554" w:rsidRPr="004D4F2F" w14:paraId="121D1B4D"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67AACD56"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1E9452B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Tynron</w:t>
            </w:r>
          </w:p>
        </w:tc>
        <w:tc>
          <w:tcPr>
            <w:tcW w:w="1483" w:type="dxa"/>
            <w:tcBorders>
              <w:top w:val="nil"/>
              <w:left w:val="nil"/>
              <w:bottom w:val="nil"/>
              <w:right w:val="single" w:sz="4" w:space="0" w:color="auto"/>
            </w:tcBorders>
            <w:shd w:val="clear" w:color="auto" w:fill="auto"/>
            <w:noWrap/>
            <w:vAlign w:val="bottom"/>
            <w:hideMark/>
          </w:tcPr>
          <w:p w14:paraId="3B35A3E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TY</w:t>
            </w:r>
          </w:p>
        </w:tc>
        <w:tc>
          <w:tcPr>
            <w:tcW w:w="1868" w:type="dxa"/>
            <w:tcBorders>
              <w:top w:val="nil"/>
              <w:left w:val="nil"/>
              <w:bottom w:val="nil"/>
              <w:right w:val="nil"/>
            </w:tcBorders>
            <w:shd w:val="clear" w:color="auto" w:fill="auto"/>
            <w:noWrap/>
            <w:vAlign w:val="bottom"/>
            <w:hideMark/>
          </w:tcPr>
          <w:p w14:paraId="13DD8699"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2</w:t>
            </w:r>
          </w:p>
        </w:tc>
        <w:tc>
          <w:tcPr>
            <w:tcW w:w="2170" w:type="dxa"/>
            <w:tcBorders>
              <w:top w:val="nil"/>
              <w:left w:val="nil"/>
              <w:bottom w:val="nil"/>
              <w:right w:val="nil"/>
            </w:tcBorders>
            <w:shd w:val="clear" w:color="auto" w:fill="auto"/>
            <w:noWrap/>
            <w:vAlign w:val="bottom"/>
            <w:hideMark/>
          </w:tcPr>
          <w:p w14:paraId="34815F78"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10</w:t>
            </w:r>
          </w:p>
        </w:tc>
        <w:tc>
          <w:tcPr>
            <w:tcW w:w="1016" w:type="dxa"/>
            <w:tcBorders>
              <w:top w:val="nil"/>
              <w:left w:val="nil"/>
              <w:bottom w:val="nil"/>
              <w:right w:val="nil"/>
            </w:tcBorders>
            <w:shd w:val="clear" w:color="auto" w:fill="auto"/>
            <w:noWrap/>
            <w:vAlign w:val="bottom"/>
            <w:hideMark/>
          </w:tcPr>
          <w:p w14:paraId="623847CC"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55.214</w:t>
            </w:r>
          </w:p>
        </w:tc>
        <w:tc>
          <w:tcPr>
            <w:tcW w:w="1203" w:type="dxa"/>
            <w:tcBorders>
              <w:top w:val="nil"/>
              <w:left w:val="nil"/>
              <w:bottom w:val="nil"/>
              <w:right w:val="nil"/>
            </w:tcBorders>
            <w:shd w:val="clear" w:color="auto" w:fill="auto"/>
            <w:noWrap/>
            <w:vAlign w:val="bottom"/>
            <w:hideMark/>
          </w:tcPr>
          <w:p w14:paraId="242748B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-3.846</w:t>
            </w:r>
          </w:p>
        </w:tc>
      </w:tr>
      <w:tr w:rsidR="001F3554" w:rsidRPr="004D4F2F" w14:paraId="70F40448" w14:textId="77777777" w:rsidTr="00EB1595">
        <w:trPr>
          <w:trHeight w:val="374"/>
          <w:jc w:val="center"/>
        </w:trPr>
        <w:tc>
          <w:tcPr>
            <w:tcW w:w="1418" w:type="dxa"/>
            <w:tcBorders>
              <w:top w:val="nil"/>
              <w:left w:val="nil"/>
              <w:bottom w:val="nil"/>
              <w:right w:val="nil"/>
            </w:tcBorders>
            <w:shd w:val="clear" w:color="auto" w:fill="auto"/>
            <w:noWrap/>
            <w:vAlign w:val="bottom"/>
            <w:hideMark/>
          </w:tcPr>
          <w:p w14:paraId="01AD20C2" w14:textId="77777777" w:rsidR="001F3554" w:rsidRPr="004D4F2F" w:rsidRDefault="001F3554"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Scotland</w:t>
            </w:r>
          </w:p>
        </w:tc>
        <w:tc>
          <w:tcPr>
            <w:tcW w:w="1610" w:type="dxa"/>
            <w:tcBorders>
              <w:top w:val="nil"/>
              <w:left w:val="nil"/>
              <w:bottom w:val="nil"/>
              <w:right w:val="nil"/>
            </w:tcBorders>
            <w:shd w:val="clear" w:color="auto" w:fill="auto"/>
            <w:noWrap/>
            <w:vAlign w:val="bottom"/>
            <w:hideMark/>
          </w:tcPr>
          <w:p w14:paraId="69CE6666"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Whitewell</w:t>
            </w:r>
          </w:p>
        </w:tc>
        <w:tc>
          <w:tcPr>
            <w:tcW w:w="1483" w:type="dxa"/>
            <w:tcBorders>
              <w:top w:val="nil"/>
              <w:left w:val="nil"/>
              <w:bottom w:val="nil"/>
              <w:right w:val="single" w:sz="4" w:space="0" w:color="auto"/>
            </w:tcBorders>
            <w:shd w:val="clear" w:color="auto" w:fill="auto"/>
            <w:noWrap/>
            <w:vAlign w:val="bottom"/>
            <w:hideMark/>
          </w:tcPr>
          <w:p w14:paraId="2E3B528A"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WW</w:t>
            </w:r>
          </w:p>
        </w:tc>
        <w:tc>
          <w:tcPr>
            <w:tcW w:w="1868" w:type="dxa"/>
            <w:tcBorders>
              <w:top w:val="nil"/>
              <w:left w:val="nil"/>
              <w:bottom w:val="nil"/>
              <w:right w:val="nil"/>
            </w:tcBorders>
            <w:shd w:val="clear" w:color="auto" w:fill="auto"/>
            <w:noWrap/>
            <w:vAlign w:val="bottom"/>
            <w:hideMark/>
          </w:tcPr>
          <w:p w14:paraId="34DA4FCD"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7</w:t>
            </w:r>
          </w:p>
        </w:tc>
        <w:tc>
          <w:tcPr>
            <w:tcW w:w="2170" w:type="dxa"/>
            <w:tcBorders>
              <w:top w:val="nil"/>
              <w:left w:val="nil"/>
              <w:bottom w:val="nil"/>
              <w:right w:val="nil"/>
            </w:tcBorders>
            <w:shd w:val="clear" w:color="auto" w:fill="auto"/>
            <w:noWrap/>
            <w:vAlign w:val="bottom"/>
            <w:hideMark/>
          </w:tcPr>
          <w:p w14:paraId="363432E1"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52</w:t>
            </w:r>
          </w:p>
        </w:tc>
        <w:tc>
          <w:tcPr>
            <w:tcW w:w="1016" w:type="dxa"/>
            <w:tcBorders>
              <w:top w:val="nil"/>
              <w:left w:val="nil"/>
              <w:bottom w:val="nil"/>
              <w:right w:val="nil"/>
            </w:tcBorders>
            <w:shd w:val="clear" w:color="auto" w:fill="auto"/>
            <w:noWrap/>
            <w:vAlign w:val="bottom"/>
            <w:hideMark/>
          </w:tcPr>
          <w:p w14:paraId="0B90BF8D"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57.155</w:t>
            </w:r>
          </w:p>
        </w:tc>
        <w:tc>
          <w:tcPr>
            <w:tcW w:w="1203" w:type="dxa"/>
            <w:tcBorders>
              <w:top w:val="nil"/>
              <w:left w:val="nil"/>
              <w:bottom w:val="nil"/>
              <w:right w:val="nil"/>
            </w:tcBorders>
            <w:shd w:val="clear" w:color="auto" w:fill="auto"/>
            <w:noWrap/>
            <w:vAlign w:val="bottom"/>
            <w:hideMark/>
          </w:tcPr>
          <w:p w14:paraId="4B114795" w14:textId="77777777" w:rsidR="001F3554" w:rsidRPr="004D4F2F" w:rsidRDefault="001F3554"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-3.796</w:t>
            </w:r>
          </w:p>
        </w:tc>
      </w:tr>
    </w:tbl>
    <w:p w14:paraId="5C55203C" w14:textId="77777777" w:rsidR="001F3554" w:rsidRPr="004D4F2F" w:rsidRDefault="001F3554" w:rsidP="001F3554">
      <w:pPr>
        <w:spacing w:line="276" w:lineRule="auto"/>
        <w:ind w:left="720" w:firstLine="720"/>
        <w:rPr>
          <w:rFonts w:ascii="Arial" w:hAnsi="Arial" w:cs="Arial"/>
          <w:sz w:val="24"/>
          <w:szCs w:val="24"/>
        </w:rPr>
      </w:pPr>
    </w:p>
    <w:p w14:paraId="03F9C537" w14:textId="77777777" w:rsidR="0045535D" w:rsidRPr="00D72CA6" w:rsidRDefault="0045535D" w:rsidP="00977701">
      <w:pPr>
        <w:rPr>
          <w:rFonts w:ascii="Times New Roman" w:hAnsi="Times New Roman" w:cs="Times New Roman"/>
          <w:sz w:val="24"/>
          <w:szCs w:val="24"/>
        </w:rPr>
      </w:pPr>
    </w:p>
    <w:p w14:paraId="10095D4A" w14:textId="1A2446A8" w:rsidR="0045535D" w:rsidRPr="00D72CA6" w:rsidRDefault="0045535D" w:rsidP="00977701">
      <w:pPr>
        <w:rPr>
          <w:rFonts w:ascii="Times New Roman" w:hAnsi="Times New Roman" w:cs="Times New Roman"/>
          <w:sz w:val="24"/>
          <w:szCs w:val="24"/>
        </w:rPr>
      </w:pPr>
      <w:r w:rsidRPr="00D72CA6">
        <w:rPr>
          <w:rFonts w:ascii="Times New Roman" w:hAnsi="Times New Roman" w:cs="Times New Roman"/>
          <w:sz w:val="24"/>
          <w:szCs w:val="24"/>
        </w:rPr>
        <w:t xml:space="preserve">This submission contains the following data, scripts and supporting information: </w:t>
      </w:r>
    </w:p>
    <w:p w14:paraId="0EB3D4E4" w14:textId="43806492" w:rsidR="0045535D" w:rsidRPr="00D72CA6" w:rsidRDefault="00023F75"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Metadata about each plant that was included in the field trial (n=540), including family and population IDs, Sex, and Block (replicate) ID and positions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Plant_Metadata.csv</w:t>
      </w:r>
      <w:r w:rsidR="00D866EB" w:rsidRPr="00D72CA6">
        <w:rPr>
          <w:rFonts w:ascii="Times New Roman" w:hAnsi="Times New Roman" w:cs="Times New Roman"/>
          <w:sz w:val="24"/>
          <w:szCs w:val="24"/>
        </w:rPr>
        <w:t>”)</w:t>
      </w:r>
    </w:p>
    <w:p w14:paraId="23FAE4A1" w14:textId="3D7A22F3" w:rsidR="0045535D" w:rsidRPr="00D72CA6" w:rsidRDefault="00023F75"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Bud burst (BB) phenology data gathered in April for all plants that were raised in the glasshouse (n=933), including ordinal BB scores for two dates, and whether pollen or berries were identified on that date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2022_BB.csv</w:t>
      </w:r>
      <w:r w:rsidR="00D866EB" w:rsidRPr="00D72CA6">
        <w:rPr>
          <w:rFonts w:ascii="Times New Roman" w:hAnsi="Times New Roman" w:cs="Times New Roman"/>
          <w:sz w:val="24"/>
          <w:szCs w:val="24"/>
        </w:rPr>
        <w:t>”)</w:t>
      </w:r>
    </w:p>
    <w:p w14:paraId="6B21B7FF" w14:textId="4F2AA809" w:rsidR="0045535D" w:rsidRPr="00D72CA6" w:rsidRDefault="00023F75"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BB phenology scores gathered on only plants in the field, gathered over 5 days from May 12-16, and summarized to a single date for analyses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2023_BB.csv</w:t>
      </w:r>
      <w:r w:rsidR="00D866EB" w:rsidRPr="00D72CA6">
        <w:rPr>
          <w:rFonts w:ascii="Times New Roman" w:hAnsi="Times New Roman" w:cs="Times New Roman"/>
          <w:sz w:val="24"/>
          <w:szCs w:val="24"/>
        </w:rPr>
        <w:t>”)</w:t>
      </w:r>
    </w:p>
    <w:p w14:paraId="1F684D69" w14:textId="409E335C" w:rsidR="0045535D" w:rsidRPr="00D72CA6" w:rsidRDefault="00023F75" w:rsidP="0082388F">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BB phenology scores identified on five days between April 16- March 30 (2024) and April 3-May 30 (2025). For 2025 these data also include strobili </w:t>
      </w:r>
      <w:r w:rsidR="008C2BB9" w:rsidRPr="00D72CA6">
        <w:rPr>
          <w:rFonts w:ascii="Times New Roman" w:hAnsi="Times New Roman" w:cs="Times New Roman"/>
          <w:sz w:val="24"/>
          <w:szCs w:val="24"/>
        </w:rPr>
        <w:t>phenology for each of these dates</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2024_BB.csv</w:t>
      </w:r>
      <w:r w:rsidR="00B9515E" w:rsidRPr="00D72CA6">
        <w:rPr>
          <w:rFonts w:ascii="Times New Roman" w:hAnsi="Times New Roman" w:cs="Times New Roman"/>
          <w:sz w:val="24"/>
          <w:szCs w:val="24"/>
        </w:rPr>
        <w:t xml:space="preserve">, &amp;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2025_BB.csv</w:t>
      </w:r>
      <w:r w:rsidR="00D866EB" w:rsidRPr="00D72CA6">
        <w:rPr>
          <w:rFonts w:ascii="Times New Roman" w:hAnsi="Times New Roman" w:cs="Times New Roman"/>
          <w:sz w:val="24"/>
          <w:szCs w:val="24"/>
        </w:rPr>
        <w:t>”)</w:t>
      </w:r>
    </w:p>
    <w:p w14:paraId="7F6E86D0" w14:textId="7C50BB89" w:rsidR="0045535D" w:rsidRPr="00D72CA6" w:rsidRDefault="008C2BB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Raw, long-form climate data downloaded from the CHELSA database </w:t>
      </w:r>
      <w:r w:rsidRPr="00D72CA6">
        <w:rPr>
          <w:rFonts w:ascii="Times New Roman" w:hAnsi="Times New Roman" w:cs="Times New Roman"/>
          <w:sz w:val="24"/>
          <w:szCs w:val="24"/>
        </w:rPr>
        <w:fldChar w:fldCharType="begin"/>
      </w:r>
      <w:r w:rsidRPr="00D72CA6">
        <w:rPr>
          <w:rFonts w:ascii="Times New Roman" w:hAnsi="Times New Roman" w:cs="Times New Roman"/>
          <w:sz w:val="24"/>
          <w:szCs w:val="24"/>
        </w:rPr>
        <w:instrText xml:space="preserve"> ADDIN EN.CITE &lt;EndNote&gt;&lt;Cite&gt;&lt;Author&gt;Karger&lt;/Author&gt;&lt;Year&gt;2017&lt;/Year&gt;&lt;RecNum&gt;336&lt;/RecNum&gt;&lt;DisplayText&gt;(Karger et al., 2017)&lt;/DisplayText&gt;&lt;record&gt;&lt;rec-number&gt;336&lt;/rec-number&gt;&lt;foreign-keys&gt;&lt;key app="EN" db-id="pfzs2ar9rdw9daedvs5pzfpc5tttrr9d0rps" timestamp="1758536352"&gt;336&lt;/key&gt;&lt;/foreign-keys&gt;&lt;ref-type name="Journal Article"&gt;17&lt;/ref-type&gt;&lt;contributors&gt;&lt;authors&gt;&lt;author&gt;Karger, Dirk Nikolaus&lt;/author&gt;&lt;author&gt;Conrad, Olaf&lt;/author&gt;&lt;author&gt;Böhner, Jürgen&lt;/author&gt;&lt;author&gt;Kawohl, Tobias&lt;/author&gt;&lt;author&gt;Kreft, Holger&lt;/author&gt;&lt;author&gt;Soria-Auza, Rodrigo Wilber&lt;/author&gt;&lt;author&gt;Zimmermann, Niklaus E.&lt;/author&gt;&lt;author&gt;Linder, H. Peter&lt;/author&gt;&lt;author&gt;Kessler, Michael&lt;/author&gt;&lt;/authors&gt;&lt;/contributors&gt;&lt;titles&gt;&lt;title&gt;Climatologies at high resolution for the earth’s land surface areas&lt;/title&gt;&lt;secondary-title&gt;Scientific Data&lt;/secondary-title&gt;&lt;/titles&gt;&lt;periodical&gt;&lt;full-title&gt;Scientific data&lt;/full-title&gt;&lt;/periodical&gt;&lt;pages&gt;170122&lt;/pages&gt;&lt;volume&gt;4&lt;/volume&gt;&lt;number&gt;1&lt;/number&gt;&lt;dates&gt;&lt;year&gt;2017&lt;/year&gt;&lt;/dates&gt;&lt;publisher&gt;Springer Science and Business Media LLC&lt;/publisher&gt;&lt;isbn&gt;2052-4463&lt;/isbn&gt;&lt;urls&gt;&lt;related-urls&gt;&lt;url&gt;https://dx.doi.org/10.1038/sdata.2017.122&lt;/url&gt;&lt;/related-urls&gt;&lt;/urls&gt;&lt;electronic-resource-num&gt;10.1038/sdata.2017.122&lt;/electronic-resource-num&gt;&lt;/record&gt;&lt;/Cite&gt;&lt;/EndNote&gt;</w:instrText>
      </w:r>
      <w:r w:rsidRPr="00D72CA6">
        <w:rPr>
          <w:rFonts w:ascii="Times New Roman" w:hAnsi="Times New Roman" w:cs="Times New Roman"/>
          <w:sz w:val="24"/>
          <w:szCs w:val="24"/>
        </w:rPr>
        <w:fldChar w:fldCharType="separate"/>
      </w:r>
      <w:r w:rsidRPr="00D72CA6">
        <w:rPr>
          <w:rFonts w:ascii="Times New Roman" w:hAnsi="Times New Roman" w:cs="Times New Roman"/>
          <w:noProof/>
          <w:sz w:val="24"/>
          <w:szCs w:val="24"/>
        </w:rPr>
        <w:t>(Karger et al., 2017)</w:t>
      </w:r>
      <w:r w:rsidRPr="00D72CA6">
        <w:rPr>
          <w:rFonts w:ascii="Times New Roman" w:hAnsi="Times New Roman" w:cs="Times New Roman"/>
          <w:sz w:val="24"/>
          <w:szCs w:val="24"/>
        </w:rPr>
        <w:fldChar w:fldCharType="end"/>
      </w:r>
      <w:r w:rsidRPr="00D72CA6">
        <w:rPr>
          <w:rFonts w:ascii="Times New Roman" w:hAnsi="Times New Roman" w:cs="Times New Roman"/>
          <w:sz w:val="24"/>
          <w:szCs w:val="24"/>
        </w:rPr>
        <w:t xml:space="preserve"> for five climate variables predicted at each site for each month between 1980-2019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cardrona_climate_data.csv</w:t>
      </w:r>
      <w:r w:rsidR="00D866EB" w:rsidRPr="00D72CA6">
        <w:rPr>
          <w:rFonts w:ascii="Times New Roman" w:hAnsi="Times New Roman" w:cs="Times New Roman"/>
          <w:sz w:val="24"/>
          <w:szCs w:val="24"/>
        </w:rPr>
        <w:t>”)</w:t>
      </w:r>
    </w:p>
    <w:p w14:paraId="4E36D951" w14:textId="345A1F1D" w:rsidR="0045535D" w:rsidRPr="00D72CA6" w:rsidRDefault="00881BDC"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The Munsell colour code for each plant, as full “Colour Hue/Intensity” codes, in addition to the date that each assessment was made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Munsell_data.csv</w:t>
      </w:r>
      <w:r w:rsidR="00D866EB" w:rsidRPr="00D72CA6">
        <w:rPr>
          <w:rFonts w:ascii="Times New Roman" w:hAnsi="Times New Roman" w:cs="Times New Roman"/>
          <w:sz w:val="24"/>
          <w:szCs w:val="24"/>
        </w:rPr>
        <w:t>”)</w:t>
      </w:r>
    </w:p>
    <w:p w14:paraId="293BC6BA" w14:textId="56425FEC" w:rsidR="0045535D" w:rsidRPr="00D72CA6" w:rsidRDefault="0045363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lastRenderedPageBreak/>
        <w:t xml:space="preserve">Quantitative genetic measurements for each plant, including stem sizes and needle morphology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Quant_data.csv</w:t>
      </w:r>
      <w:r w:rsidR="00D866EB" w:rsidRPr="00D72CA6">
        <w:rPr>
          <w:rFonts w:ascii="Times New Roman" w:hAnsi="Times New Roman" w:cs="Times New Roman"/>
          <w:sz w:val="24"/>
          <w:szCs w:val="24"/>
        </w:rPr>
        <w:t>”)</w:t>
      </w:r>
    </w:p>
    <w:p w14:paraId="286DA57F" w14:textId="338B8300" w:rsidR="0045535D" w:rsidRPr="00D72CA6" w:rsidRDefault="00453639" w:rsidP="0059765A">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 scripts for analysing chlorophyll fluorescence data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CF.R</w:t>
      </w:r>
      <w:r w:rsidR="00D866EB" w:rsidRPr="00D72CA6">
        <w:rPr>
          <w:rFonts w:ascii="Times New Roman" w:hAnsi="Times New Roman" w:cs="Times New Roman"/>
          <w:sz w:val="24"/>
          <w:szCs w:val="24"/>
        </w:rPr>
        <w:t>”)</w:t>
      </w:r>
    </w:p>
    <w:p w14:paraId="3E69251A" w14:textId="7837462D" w:rsidR="0045535D" w:rsidRPr="00D72CA6" w:rsidRDefault="00453639" w:rsidP="0059765A">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 scripts analysing summarized climatological data with quantitative traits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Climate_data_and_pca.R</w:t>
      </w:r>
      <w:r w:rsidR="00D866EB" w:rsidRPr="00D72CA6">
        <w:rPr>
          <w:rFonts w:ascii="Times New Roman" w:hAnsi="Times New Roman" w:cs="Times New Roman"/>
          <w:sz w:val="24"/>
          <w:szCs w:val="24"/>
        </w:rPr>
        <w:t>”)</w:t>
      </w:r>
    </w:p>
    <w:p w14:paraId="62C137C6" w14:textId="513EB6EE" w:rsidR="0045535D" w:rsidRPr="00D72CA6" w:rsidRDefault="0045363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 scripts for summarizing and transforming climatological data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Climate_data_processing.R</w:t>
      </w:r>
      <w:r w:rsidR="00D866EB" w:rsidRPr="00D72CA6">
        <w:rPr>
          <w:rFonts w:ascii="Times New Roman" w:hAnsi="Times New Roman" w:cs="Times New Roman"/>
          <w:sz w:val="24"/>
          <w:szCs w:val="24"/>
        </w:rPr>
        <w:t>”)</w:t>
      </w:r>
    </w:p>
    <w:p w14:paraId="2985A543" w14:textId="3261294D" w:rsidR="0045535D" w:rsidRPr="00D72CA6" w:rsidRDefault="0045363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R scripts for summarizing and transforming Munsell colour codes</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Munsell_colours.R</w:t>
      </w:r>
      <w:r w:rsidR="00D866EB" w:rsidRPr="00D72CA6">
        <w:rPr>
          <w:rFonts w:ascii="Times New Roman" w:hAnsi="Times New Roman" w:cs="Times New Roman"/>
          <w:sz w:val="24"/>
          <w:szCs w:val="24"/>
        </w:rPr>
        <w:t>”)</w:t>
      </w:r>
    </w:p>
    <w:p w14:paraId="0721B843" w14:textId="44C34518" w:rsidR="0045535D" w:rsidRPr="00D72CA6" w:rsidRDefault="0045363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 scripts for analysing phenological BB and strobili measurements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Phenology.R</w:t>
      </w:r>
      <w:r w:rsidR="00D866EB" w:rsidRPr="00D72CA6">
        <w:rPr>
          <w:rFonts w:ascii="Times New Roman" w:hAnsi="Times New Roman" w:cs="Times New Roman"/>
          <w:sz w:val="24"/>
          <w:szCs w:val="24"/>
        </w:rPr>
        <w:t>”)</w:t>
      </w:r>
    </w:p>
    <w:p w14:paraId="33A6894E" w14:textId="181D04AD" w:rsidR="0045535D" w:rsidRPr="00D72CA6" w:rsidRDefault="00453639" w:rsidP="0045535D">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R scripts for summarizing and analysing quantitative measurements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Quantitative_genetics.R</w:t>
      </w:r>
      <w:r w:rsidR="00D866EB" w:rsidRPr="00D72CA6">
        <w:rPr>
          <w:rFonts w:ascii="Times New Roman" w:hAnsi="Times New Roman" w:cs="Times New Roman"/>
          <w:sz w:val="24"/>
          <w:szCs w:val="24"/>
        </w:rPr>
        <w:t>”)</w:t>
      </w:r>
    </w:p>
    <w:p w14:paraId="20DE10CC" w14:textId="777F78A7" w:rsidR="0045535D" w:rsidRPr="00D72CA6" w:rsidRDefault="00453639" w:rsidP="00CF389F">
      <w:pPr>
        <w:pStyle w:val="ListParagraph"/>
        <w:numPr>
          <w:ilvl w:val="0"/>
          <w:numId w:val="2"/>
        </w:numPr>
        <w:rPr>
          <w:rFonts w:ascii="Times New Roman" w:hAnsi="Times New Roman" w:cs="Times New Roman"/>
          <w:sz w:val="24"/>
          <w:szCs w:val="24"/>
        </w:rPr>
      </w:pPr>
      <w:r w:rsidRPr="00D72CA6">
        <w:rPr>
          <w:rFonts w:ascii="Times New Roman" w:hAnsi="Times New Roman" w:cs="Times New Roman"/>
          <w:sz w:val="24"/>
          <w:szCs w:val="24"/>
        </w:rPr>
        <w:t xml:space="preserve">Processed Chlorophyll fluorescence data (see “Lineage” section) </w:t>
      </w:r>
      <w:r w:rsidR="00D866EB" w:rsidRPr="00D72CA6">
        <w:rPr>
          <w:rFonts w:ascii="Times New Roman" w:hAnsi="Times New Roman" w:cs="Times New Roman"/>
          <w:sz w:val="24"/>
          <w:szCs w:val="24"/>
        </w:rPr>
        <w:t>(“</w:t>
      </w:r>
      <w:r w:rsidR="0045535D" w:rsidRPr="00D72CA6">
        <w:rPr>
          <w:rFonts w:ascii="Times New Roman" w:hAnsi="Times New Roman" w:cs="Times New Roman"/>
          <w:sz w:val="24"/>
          <w:szCs w:val="24"/>
        </w:rPr>
        <w:t>CF_8.2.24_TS_Av.csv</w:t>
      </w:r>
      <w:r w:rsidR="00D866EB" w:rsidRPr="00D72CA6">
        <w:rPr>
          <w:rFonts w:ascii="Times New Roman" w:hAnsi="Times New Roman" w:cs="Times New Roman"/>
          <w:sz w:val="24"/>
          <w:szCs w:val="24"/>
        </w:rPr>
        <w:t xml:space="preserve">, </w:t>
      </w:r>
      <w:r w:rsidR="0045535D" w:rsidRPr="00D72CA6">
        <w:rPr>
          <w:rFonts w:ascii="Times New Roman" w:hAnsi="Times New Roman" w:cs="Times New Roman"/>
          <w:sz w:val="24"/>
          <w:szCs w:val="24"/>
        </w:rPr>
        <w:t>CF_8.3.24_TS_Av.csv</w:t>
      </w:r>
      <w:r w:rsidR="00D866EB" w:rsidRPr="00D72CA6">
        <w:rPr>
          <w:rFonts w:ascii="Times New Roman" w:hAnsi="Times New Roman" w:cs="Times New Roman"/>
          <w:sz w:val="24"/>
          <w:szCs w:val="24"/>
        </w:rPr>
        <w:t xml:space="preserve"> &amp; </w:t>
      </w:r>
      <w:r w:rsidR="0045535D" w:rsidRPr="00D72CA6">
        <w:rPr>
          <w:rFonts w:ascii="Times New Roman" w:hAnsi="Times New Roman" w:cs="Times New Roman"/>
          <w:sz w:val="24"/>
          <w:szCs w:val="24"/>
        </w:rPr>
        <w:t>CF_12.4.24_TS_Av.csv</w:t>
      </w:r>
      <w:r w:rsidR="00D866EB" w:rsidRPr="00D72CA6">
        <w:rPr>
          <w:rFonts w:ascii="Times New Roman" w:hAnsi="Times New Roman" w:cs="Times New Roman"/>
          <w:sz w:val="24"/>
          <w:szCs w:val="24"/>
        </w:rPr>
        <w:t>”)</w:t>
      </w:r>
    </w:p>
    <w:p w14:paraId="7E378F24" w14:textId="77777777" w:rsidR="00794434" w:rsidRPr="00D72CA6" w:rsidRDefault="00794434" w:rsidP="00977701">
      <w:pPr>
        <w:rPr>
          <w:rFonts w:ascii="Times New Roman" w:hAnsi="Times New Roman" w:cs="Times New Roman"/>
          <w:sz w:val="24"/>
          <w:szCs w:val="24"/>
        </w:rPr>
      </w:pPr>
    </w:p>
    <w:p w14:paraId="7CDC5DF8" w14:textId="47E659D0" w:rsidR="00794434" w:rsidRPr="00D72CA6" w:rsidRDefault="00794434" w:rsidP="00977701">
      <w:pPr>
        <w:rPr>
          <w:rFonts w:ascii="Times New Roman" w:hAnsi="Times New Roman" w:cs="Times New Roman"/>
          <w:sz w:val="24"/>
          <w:szCs w:val="24"/>
        </w:rPr>
      </w:pPr>
      <w:r w:rsidRPr="00D72CA6">
        <w:rPr>
          <w:rFonts w:ascii="Times New Roman" w:hAnsi="Times New Roman" w:cs="Times New Roman"/>
          <w:b/>
          <w:bCs/>
          <w:sz w:val="24"/>
          <w:szCs w:val="24"/>
        </w:rPr>
        <w:t xml:space="preserve">Instructions for use: </w:t>
      </w:r>
    </w:p>
    <w:p w14:paraId="6BFEC362" w14:textId="39B68BB7" w:rsidR="00794434" w:rsidRPr="00D72CA6" w:rsidRDefault="00794434" w:rsidP="00977701">
      <w:pPr>
        <w:rPr>
          <w:rFonts w:ascii="Times New Roman" w:hAnsi="Times New Roman" w:cs="Times New Roman"/>
          <w:sz w:val="24"/>
          <w:szCs w:val="24"/>
        </w:rPr>
      </w:pPr>
      <w:r w:rsidRPr="00D72CA6">
        <w:rPr>
          <w:rFonts w:ascii="Times New Roman" w:hAnsi="Times New Roman" w:cs="Times New Roman"/>
          <w:sz w:val="24"/>
          <w:szCs w:val="24"/>
        </w:rPr>
        <w:tab/>
        <w:t xml:space="preserve">This data deposit is complete with R scripts to perform a suite of transformations, plotting and analyses, which are described below. For these scripts to run properly, please be aware that a particular “folder architecture” should be maintained, and a new R project should be created in the root directory. </w:t>
      </w:r>
      <w:r w:rsidR="00DD2E97" w:rsidRPr="00D72CA6">
        <w:rPr>
          <w:rFonts w:ascii="Times New Roman" w:hAnsi="Times New Roman" w:cs="Times New Roman"/>
          <w:sz w:val="24"/>
          <w:szCs w:val="24"/>
        </w:rPr>
        <w:t xml:space="preserve">To ensure these run as intended, please follow the following steps: </w:t>
      </w:r>
    </w:p>
    <w:p w14:paraId="7188F7DD" w14:textId="6E686C39" w:rsidR="00DD2E97" w:rsidRPr="00D72CA6" w:rsidRDefault="00DD2E97"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Download EIDC deposit (Click download, then “Download the data”)</w:t>
      </w:r>
    </w:p>
    <w:p w14:paraId="7F20D702" w14:textId="1EDD842C" w:rsidR="00DD2E97" w:rsidRPr="00D72CA6" w:rsidRDefault="00DD2E97" w:rsidP="00DD2E97">
      <w:pPr>
        <w:pStyle w:val="ListParagraph"/>
        <w:numPr>
          <w:ilvl w:val="1"/>
          <w:numId w:val="1"/>
        </w:numPr>
        <w:rPr>
          <w:rFonts w:ascii="Times New Roman" w:hAnsi="Times New Roman" w:cs="Times New Roman"/>
          <w:sz w:val="24"/>
          <w:szCs w:val="24"/>
        </w:rPr>
      </w:pPr>
      <w:r w:rsidRPr="00D72CA6">
        <w:rPr>
          <w:rFonts w:ascii="Times New Roman" w:hAnsi="Times New Roman" w:cs="Times New Roman"/>
          <w:sz w:val="24"/>
          <w:szCs w:val="24"/>
        </w:rPr>
        <w:t xml:space="preserve">The downloaded zip will contain a “data” and “supporting-documents” folder. </w:t>
      </w:r>
    </w:p>
    <w:p w14:paraId="121632DC" w14:textId="58B19B36" w:rsidR="00DD2E97" w:rsidRPr="00D72CA6" w:rsidRDefault="00DD2E97"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Copy the contents of “data” (will include folders “Raw” and “Proc_data”) into a new directory</w:t>
      </w:r>
    </w:p>
    <w:p w14:paraId="755EBA4D" w14:textId="642A8152" w:rsidR="00DD2E97" w:rsidRPr="00D72CA6" w:rsidRDefault="00DD2E97" w:rsidP="00DD2E97">
      <w:pPr>
        <w:pStyle w:val="ListParagraph"/>
        <w:numPr>
          <w:ilvl w:val="1"/>
          <w:numId w:val="1"/>
        </w:numPr>
        <w:rPr>
          <w:rFonts w:ascii="Times New Roman" w:hAnsi="Times New Roman" w:cs="Times New Roman"/>
          <w:sz w:val="24"/>
          <w:szCs w:val="24"/>
        </w:rPr>
      </w:pPr>
      <w:r w:rsidRPr="00D72CA6">
        <w:rPr>
          <w:rFonts w:ascii="Times New Roman" w:hAnsi="Times New Roman" w:cs="Times New Roman"/>
          <w:sz w:val="24"/>
          <w:szCs w:val="24"/>
        </w:rPr>
        <w:t>NB: this directory can be anywhere on your computer, so long as you have admin permissions</w:t>
      </w:r>
    </w:p>
    <w:p w14:paraId="76A174CD" w14:textId="08DA889E" w:rsidR="00DD2E97" w:rsidRPr="00D72CA6" w:rsidRDefault="00DD2E97"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 xml:space="preserve">Copy the contents of “supporting-documents” to the same root directory as the “Raw” and “Proc_data” folders from step 2. </w:t>
      </w:r>
    </w:p>
    <w:p w14:paraId="1E4037E5" w14:textId="7647A479" w:rsidR="004E6EE4" w:rsidRPr="00D72CA6" w:rsidRDefault="00DD2E97" w:rsidP="004E6EE4">
      <w:pPr>
        <w:pStyle w:val="ListParagraph"/>
        <w:numPr>
          <w:ilvl w:val="1"/>
          <w:numId w:val="1"/>
        </w:numPr>
        <w:rPr>
          <w:rFonts w:ascii="Times New Roman" w:hAnsi="Times New Roman" w:cs="Times New Roman"/>
          <w:sz w:val="24"/>
          <w:szCs w:val="24"/>
        </w:rPr>
      </w:pPr>
      <w:r w:rsidRPr="00D72CA6">
        <w:rPr>
          <w:rFonts w:ascii="Times New Roman" w:hAnsi="Times New Roman" w:cs="Times New Roman"/>
          <w:sz w:val="24"/>
          <w:szCs w:val="24"/>
        </w:rPr>
        <w:t>This will include a directory of R scripts</w:t>
      </w:r>
      <w:r w:rsidR="004E6EE4" w:rsidRPr="00D72CA6">
        <w:rPr>
          <w:rFonts w:ascii="Times New Roman" w:hAnsi="Times New Roman" w:cs="Times New Roman"/>
          <w:sz w:val="24"/>
          <w:szCs w:val="24"/>
        </w:rPr>
        <w:t>, the “Plant_Metadada.csv,” and this metadata files (NB: this file may need to be closed to perform this copy)</w:t>
      </w:r>
    </w:p>
    <w:p w14:paraId="1DB96109" w14:textId="34A7BE42" w:rsidR="00DD2E97" w:rsidRPr="00D72CA6" w:rsidRDefault="004E6EE4"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Install R and, preferably, RStudio if they are not installed already</w:t>
      </w:r>
    </w:p>
    <w:p w14:paraId="3FEAA377" w14:textId="590606FF" w:rsidR="004E6EE4" w:rsidRPr="00D72CA6" w:rsidRDefault="004E6EE4"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 xml:space="preserve">Create a new R project in the same root directory as Steps 2 and 3. </w:t>
      </w:r>
    </w:p>
    <w:p w14:paraId="644B7372" w14:textId="4FBB1669" w:rsidR="004E6EE4" w:rsidRDefault="004E6EE4" w:rsidP="00DD2E97">
      <w:pPr>
        <w:pStyle w:val="ListParagraph"/>
        <w:numPr>
          <w:ilvl w:val="0"/>
          <w:numId w:val="1"/>
        </w:numPr>
        <w:rPr>
          <w:rFonts w:ascii="Times New Roman" w:hAnsi="Times New Roman" w:cs="Times New Roman"/>
          <w:sz w:val="24"/>
          <w:szCs w:val="24"/>
        </w:rPr>
      </w:pPr>
      <w:r w:rsidRPr="00D72CA6">
        <w:rPr>
          <w:rFonts w:ascii="Times New Roman" w:hAnsi="Times New Roman" w:cs="Times New Roman"/>
          <w:sz w:val="24"/>
          <w:szCs w:val="24"/>
        </w:rPr>
        <w:t xml:space="preserve">Open all the R scripts within this R project, install packages as needed and run. </w:t>
      </w:r>
    </w:p>
    <w:p w14:paraId="3BED8C2D" w14:textId="77777777" w:rsidR="004F690D" w:rsidRDefault="00D72CA6" w:rsidP="00D72CA6">
      <w:pPr>
        <w:pStyle w:val="ListParagraph"/>
        <w:numPr>
          <w:ilvl w:val="1"/>
          <w:numId w:val="1"/>
        </w:numPr>
        <w:rPr>
          <w:rFonts w:ascii="Times New Roman" w:hAnsi="Times New Roman" w:cs="Times New Roman"/>
          <w:sz w:val="24"/>
          <w:szCs w:val="24"/>
        </w:rPr>
      </w:pPr>
      <w:r>
        <w:rPr>
          <w:rFonts w:ascii="Times New Roman" w:hAnsi="Times New Roman" w:cs="Times New Roman"/>
          <w:sz w:val="24"/>
          <w:szCs w:val="24"/>
        </w:rPr>
        <w:t>The library is shared across scripts</w:t>
      </w:r>
    </w:p>
    <w:p w14:paraId="5EF9D374" w14:textId="10FF7E1E" w:rsidR="00D72CA6" w:rsidRPr="004F690D" w:rsidRDefault="004F690D" w:rsidP="001C7BF2">
      <w:pPr>
        <w:pStyle w:val="ListParagraph"/>
        <w:numPr>
          <w:ilvl w:val="1"/>
          <w:numId w:val="1"/>
        </w:numPr>
        <w:rPr>
          <w:rFonts w:ascii="Times New Roman" w:hAnsi="Times New Roman" w:cs="Times New Roman"/>
          <w:sz w:val="24"/>
          <w:szCs w:val="24"/>
        </w:rPr>
      </w:pPr>
      <w:r w:rsidRPr="004F690D">
        <w:rPr>
          <w:rFonts w:ascii="Times New Roman" w:hAnsi="Times New Roman" w:cs="Times New Roman"/>
          <w:sz w:val="24"/>
          <w:szCs w:val="24"/>
        </w:rPr>
        <w:t xml:space="preserve">To install all packages required, open “Quantitative_genetics.R” </w:t>
      </w:r>
      <w:r>
        <w:rPr>
          <w:rFonts w:ascii="Times New Roman" w:hAnsi="Times New Roman" w:cs="Times New Roman"/>
          <w:sz w:val="24"/>
          <w:szCs w:val="24"/>
        </w:rPr>
        <w:t xml:space="preserve"> and run the section “Installation” </w:t>
      </w:r>
    </w:p>
    <w:p w14:paraId="2DE76EA5" w14:textId="77777777" w:rsidR="00AA7442" w:rsidRDefault="00D72CA6" w:rsidP="00D72CA6">
      <w:pPr>
        <w:pStyle w:val="ListParagraph"/>
        <w:numPr>
          <w:ilvl w:val="1"/>
          <w:numId w:val="1"/>
        </w:numPr>
        <w:rPr>
          <w:rFonts w:ascii="Times New Roman" w:hAnsi="Times New Roman" w:cs="Times New Roman"/>
          <w:sz w:val="24"/>
          <w:szCs w:val="24"/>
        </w:rPr>
      </w:pPr>
      <w:r>
        <w:rPr>
          <w:rFonts w:ascii="Times New Roman" w:hAnsi="Times New Roman" w:cs="Times New Roman"/>
          <w:sz w:val="24"/>
          <w:szCs w:val="24"/>
        </w:rPr>
        <w:t xml:space="preserve">The recommended order is: </w:t>
      </w:r>
    </w:p>
    <w:p w14:paraId="753C562F" w14:textId="724B0B64" w:rsidR="00AA7442" w:rsidRDefault="00D72CA6" w:rsidP="00AA7442">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“Quantitative_genetics.R”</w:t>
      </w:r>
      <w:r>
        <w:rPr>
          <w:rFonts w:ascii="Times New Roman" w:hAnsi="Times New Roman" w:cs="Times New Roman"/>
          <w:sz w:val="24"/>
          <w:szCs w:val="24"/>
        </w:rPr>
        <w:t xml:space="preserve"> </w:t>
      </w:r>
    </w:p>
    <w:p w14:paraId="00755E89" w14:textId="18D748A5" w:rsidR="00AA7442" w:rsidRDefault="00D72CA6" w:rsidP="00AA7442">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“Phenology.R”</w:t>
      </w:r>
      <w:r>
        <w:rPr>
          <w:rFonts w:ascii="Times New Roman" w:hAnsi="Times New Roman" w:cs="Times New Roman"/>
          <w:sz w:val="24"/>
          <w:szCs w:val="24"/>
        </w:rPr>
        <w:t xml:space="preserve"> </w:t>
      </w:r>
    </w:p>
    <w:p w14:paraId="0A99D280" w14:textId="2B66CCC6" w:rsidR="00AA7442" w:rsidRDefault="00D72CA6" w:rsidP="00AA7442">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“Munsell_colours.R”</w:t>
      </w:r>
      <w:r>
        <w:rPr>
          <w:rFonts w:ascii="Times New Roman" w:hAnsi="Times New Roman" w:cs="Times New Roman"/>
          <w:sz w:val="24"/>
          <w:szCs w:val="24"/>
        </w:rPr>
        <w:t xml:space="preserve"> </w:t>
      </w:r>
    </w:p>
    <w:p w14:paraId="44823A75" w14:textId="1AA3696A" w:rsidR="00AA7442" w:rsidRDefault="00D72CA6" w:rsidP="00AA7442">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“CF.R”</w:t>
      </w:r>
      <w:r>
        <w:rPr>
          <w:rFonts w:ascii="Times New Roman" w:hAnsi="Times New Roman" w:cs="Times New Roman"/>
          <w:sz w:val="24"/>
          <w:szCs w:val="24"/>
        </w:rPr>
        <w:t xml:space="preserve"> </w:t>
      </w:r>
    </w:p>
    <w:p w14:paraId="2EE62CF1" w14:textId="40E157D3" w:rsidR="00AA7442" w:rsidRDefault="00D72CA6" w:rsidP="00AA7442">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“Climate_data_processing.R”</w:t>
      </w:r>
      <w:r>
        <w:rPr>
          <w:rFonts w:ascii="Times New Roman" w:hAnsi="Times New Roman" w:cs="Times New Roman"/>
          <w:sz w:val="24"/>
          <w:szCs w:val="24"/>
        </w:rPr>
        <w:t xml:space="preserve">  </w:t>
      </w:r>
    </w:p>
    <w:p w14:paraId="628F46E5" w14:textId="46D12C37" w:rsidR="000B7369" w:rsidRPr="00C251AA" w:rsidRDefault="00D72CA6" w:rsidP="00977701">
      <w:pPr>
        <w:pStyle w:val="ListParagraph"/>
        <w:numPr>
          <w:ilvl w:val="2"/>
          <w:numId w:val="1"/>
        </w:numPr>
        <w:rPr>
          <w:rFonts w:ascii="Times New Roman" w:hAnsi="Times New Roman" w:cs="Times New Roman"/>
          <w:sz w:val="24"/>
          <w:szCs w:val="24"/>
        </w:rPr>
      </w:pPr>
      <w:r w:rsidRPr="00D72CA6">
        <w:rPr>
          <w:rFonts w:ascii="Times New Roman" w:hAnsi="Times New Roman" w:cs="Times New Roman"/>
          <w:sz w:val="24"/>
          <w:szCs w:val="24"/>
        </w:rPr>
        <w:t>“Climate_data_and_pca.R”</w:t>
      </w:r>
    </w:p>
    <w:p w14:paraId="2EBA3B2F" w14:textId="77777777" w:rsidR="003B258E" w:rsidRPr="00D72CA6" w:rsidRDefault="003B258E" w:rsidP="00977701">
      <w:pPr>
        <w:rPr>
          <w:rFonts w:ascii="Times New Roman" w:hAnsi="Times New Roman" w:cs="Times New Roman"/>
          <w:b/>
          <w:bCs/>
          <w:sz w:val="24"/>
          <w:szCs w:val="24"/>
        </w:rPr>
      </w:pPr>
    </w:p>
    <w:p w14:paraId="6555F8C1" w14:textId="1A863F5A" w:rsidR="000B7369" w:rsidRPr="00D72CA6" w:rsidRDefault="000B7369" w:rsidP="00977701">
      <w:pPr>
        <w:rPr>
          <w:rFonts w:ascii="Times New Roman" w:hAnsi="Times New Roman" w:cs="Times New Roman"/>
          <w:b/>
          <w:bCs/>
          <w:sz w:val="24"/>
          <w:szCs w:val="24"/>
        </w:rPr>
      </w:pPr>
      <w:r w:rsidRPr="00D72CA6">
        <w:rPr>
          <w:rFonts w:ascii="Times New Roman" w:hAnsi="Times New Roman" w:cs="Times New Roman"/>
          <w:b/>
          <w:bCs/>
          <w:sz w:val="24"/>
          <w:szCs w:val="24"/>
        </w:rPr>
        <w:t>Please NB:</w:t>
      </w:r>
    </w:p>
    <w:p w14:paraId="7F37A78F" w14:textId="2F284D57" w:rsidR="000B7369" w:rsidRPr="00D72CA6" w:rsidRDefault="000B7369" w:rsidP="000B7369">
      <w:pPr>
        <w:pStyle w:val="EndNoteBibliography"/>
        <w:rPr>
          <w:rFonts w:ascii="Times New Roman" w:hAnsi="Times New Roman" w:cs="Times New Roman"/>
        </w:rPr>
      </w:pPr>
      <w:r w:rsidRPr="00D72CA6">
        <w:rPr>
          <w:rFonts w:ascii="Times New Roman" w:hAnsi="Times New Roman" w:cs="Times New Roman"/>
        </w:rPr>
        <w:t>All dates, whether column headers or contents, are stored as “DD/MM/YY”, with the exception of when dates are used in file names, in which cases they are in “DD.MM.YY” format.</w:t>
      </w:r>
    </w:p>
    <w:p w14:paraId="5711A603" w14:textId="761733C4" w:rsidR="002470EE" w:rsidRPr="003B258E" w:rsidRDefault="002470EE" w:rsidP="003B258E">
      <w:pPr>
        <w:pStyle w:val="EndNoteBibliography"/>
        <w:numPr>
          <w:ilvl w:val="0"/>
          <w:numId w:val="0"/>
        </w:numPr>
        <w:ind w:left="720" w:hanging="360"/>
        <w:rPr>
          <w:rFonts w:ascii="Times New Roman" w:hAnsi="Times New Roman" w:cs="Times New Roman"/>
        </w:rPr>
      </w:pPr>
    </w:p>
    <w:p w14:paraId="4DBA7E61" w14:textId="77777777" w:rsidR="00977701" w:rsidRPr="00D72CA6" w:rsidRDefault="00977701" w:rsidP="00977701">
      <w:pPr>
        <w:rPr>
          <w:rFonts w:ascii="Times New Roman" w:hAnsi="Times New Roman" w:cs="Times New Roman"/>
          <w:b/>
          <w:bCs/>
          <w:sz w:val="24"/>
          <w:szCs w:val="24"/>
        </w:rPr>
      </w:pPr>
      <w:r w:rsidRPr="00D72CA6">
        <w:rPr>
          <w:rFonts w:ascii="Times New Roman" w:hAnsi="Times New Roman" w:cs="Times New Roman"/>
          <w:b/>
          <w:bCs/>
          <w:sz w:val="24"/>
          <w:szCs w:val="24"/>
        </w:rPr>
        <w:t xml:space="preserve">Lineage: </w:t>
      </w:r>
    </w:p>
    <w:p w14:paraId="282E6173" w14:textId="0C130B79" w:rsidR="00807AAF" w:rsidRDefault="003B258E">
      <w:pPr>
        <w:rPr>
          <w:rFonts w:ascii="Times New Roman" w:hAnsi="Times New Roman" w:cs="Times New Roman"/>
          <w:sz w:val="24"/>
          <w:szCs w:val="24"/>
        </w:rPr>
      </w:pPr>
      <w:r>
        <w:rPr>
          <w:rFonts w:ascii="Times New Roman" w:hAnsi="Times New Roman" w:cs="Times New Roman"/>
          <w:sz w:val="24"/>
          <w:szCs w:val="24"/>
        </w:rPr>
        <w:tab/>
        <w:t xml:space="preserve">The data in this deposit were all collected between 2022-2026 and were processed prior to upload. </w:t>
      </w:r>
      <w:r w:rsidR="00807AAF">
        <w:rPr>
          <w:rFonts w:ascii="Times New Roman" w:hAnsi="Times New Roman" w:cs="Times New Roman"/>
          <w:sz w:val="24"/>
          <w:szCs w:val="24"/>
        </w:rPr>
        <w:t xml:space="preserve">Please see the “Methods” section below for the full details of how data were collected. </w:t>
      </w:r>
    </w:p>
    <w:p w14:paraId="5AB987AE" w14:textId="3F701397" w:rsidR="004509AC" w:rsidRPr="00D72CA6" w:rsidRDefault="003B258E" w:rsidP="00807AAF">
      <w:pPr>
        <w:ind w:firstLine="720"/>
        <w:rPr>
          <w:rFonts w:ascii="Times New Roman" w:hAnsi="Times New Roman" w:cs="Times New Roman"/>
          <w:sz w:val="24"/>
          <w:szCs w:val="24"/>
        </w:rPr>
      </w:pPr>
      <w:r>
        <w:rPr>
          <w:rFonts w:ascii="Times New Roman" w:hAnsi="Times New Roman" w:cs="Times New Roman"/>
          <w:sz w:val="24"/>
          <w:szCs w:val="24"/>
        </w:rPr>
        <w:t xml:space="preserve">Processing </w:t>
      </w:r>
      <w:r w:rsidR="00807AAF">
        <w:rPr>
          <w:rFonts w:ascii="Times New Roman" w:hAnsi="Times New Roman" w:cs="Times New Roman"/>
          <w:sz w:val="24"/>
          <w:szCs w:val="24"/>
        </w:rPr>
        <w:t xml:space="preserve">data </w:t>
      </w:r>
      <w:r>
        <w:rPr>
          <w:rFonts w:ascii="Times New Roman" w:hAnsi="Times New Roman" w:cs="Times New Roman"/>
          <w:sz w:val="24"/>
          <w:szCs w:val="24"/>
        </w:rPr>
        <w:t xml:space="preserve">varied by dataset from changing column headers to standard, consistent formats (all datasheets) to manually editing the data (Chlorophyll fluorescence data). </w:t>
      </w:r>
      <w:r w:rsidR="00807AAF">
        <w:rPr>
          <w:rFonts w:ascii="Times New Roman" w:hAnsi="Times New Roman" w:cs="Times New Roman"/>
          <w:sz w:val="24"/>
          <w:szCs w:val="24"/>
        </w:rPr>
        <w:t>Except for this formatting, the data is included in its raw form. Chlorophyll fluorescence data was processed prior to upload due to the number of records that had to be removed due to errors in the field (clips falling off or moving during scanning), or due to technical errors (identification of erroneous data during processing). For the sake of brevity, the R script</w:t>
      </w:r>
      <w:r w:rsidR="0091386F">
        <w:rPr>
          <w:rFonts w:ascii="Times New Roman" w:hAnsi="Times New Roman" w:cs="Times New Roman"/>
          <w:sz w:val="24"/>
          <w:szCs w:val="24"/>
        </w:rPr>
        <w:t>s</w:t>
      </w:r>
      <w:r w:rsidR="00807AAF">
        <w:rPr>
          <w:rFonts w:ascii="Times New Roman" w:hAnsi="Times New Roman" w:cs="Times New Roman"/>
          <w:sz w:val="24"/>
          <w:szCs w:val="24"/>
        </w:rPr>
        <w:t xml:space="preserve"> </w:t>
      </w:r>
      <w:r w:rsidR="0091386F">
        <w:rPr>
          <w:rFonts w:ascii="Times New Roman" w:hAnsi="Times New Roman" w:cs="Times New Roman"/>
          <w:sz w:val="24"/>
          <w:szCs w:val="24"/>
        </w:rPr>
        <w:t xml:space="preserve">used to remove these scans are not included in this deposit, and only validated Chlorophyll fluorescence data are included. </w:t>
      </w:r>
    </w:p>
    <w:p w14:paraId="2FEC831E" w14:textId="77777777" w:rsidR="000659CB" w:rsidRPr="00D72CA6" w:rsidRDefault="000659CB">
      <w:pPr>
        <w:rPr>
          <w:rFonts w:ascii="Times New Roman" w:hAnsi="Times New Roman" w:cs="Times New Roman"/>
          <w:sz w:val="24"/>
          <w:szCs w:val="24"/>
        </w:rPr>
      </w:pPr>
    </w:p>
    <w:p w14:paraId="3CD7F2AC" w14:textId="65492C58" w:rsidR="004077B0" w:rsidRPr="00D72CA6" w:rsidRDefault="00C71D32">
      <w:pPr>
        <w:rPr>
          <w:rFonts w:ascii="Times New Roman" w:hAnsi="Times New Roman" w:cs="Times New Roman"/>
          <w:b/>
          <w:bCs/>
          <w:sz w:val="24"/>
          <w:szCs w:val="24"/>
        </w:rPr>
      </w:pPr>
      <w:r w:rsidRPr="00D72CA6">
        <w:rPr>
          <w:rFonts w:ascii="Times New Roman" w:hAnsi="Times New Roman" w:cs="Times New Roman"/>
          <w:b/>
          <w:bCs/>
          <w:sz w:val="24"/>
          <w:szCs w:val="24"/>
        </w:rPr>
        <w:t xml:space="preserve">Deposit contents: </w:t>
      </w:r>
    </w:p>
    <w:p w14:paraId="745D8C3A" w14:textId="1B8B5E52" w:rsidR="004077B0" w:rsidRPr="00D72CA6" w:rsidRDefault="004077B0" w:rsidP="00482590">
      <w:pPr>
        <w:ind w:firstLine="720"/>
        <w:rPr>
          <w:rFonts w:ascii="Times New Roman" w:hAnsi="Times New Roman" w:cs="Times New Roman"/>
          <w:sz w:val="24"/>
          <w:szCs w:val="24"/>
        </w:rPr>
      </w:pPr>
      <w:r w:rsidRPr="00D72CA6">
        <w:rPr>
          <w:rFonts w:ascii="Times New Roman" w:hAnsi="Times New Roman" w:cs="Times New Roman"/>
          <w:sz w:val="24"/>
          <w:szCs w:val="24"/>
        </w:rPr>
        <w:t xml:space="preserve">This EIDC deposit contains the files </w:t>
      </w:r>
      <w:r w:rsidR="00023F75" w:rsidRPr="00D72CA6">
        <w:rPr>
          <w:rFonts w:ascii="Times New Roman" w:hAnsi="Times New Roman" w:cs="Times New Roman"/>
          <w:sz w:val="24"/>
          <w:szCs w:val="24"/>
        </w:rPr>
        <w:t xml:space="preserve">summarized </w:t>
      </w:r>
      <w:r w:rsidRPr="00D72CA6">
        <w:rPr>
          <w:rFonts w:ascii="Times New Roman" w:hAnsi="Times New Roman" w:cs="Times New Roman"/>
          <w:sz w:val="24"/>
          <w:szCs w:val="24"/>
        </w:rPr>
        <w:t xml:space="preserve">in Table </w:t>
      </w:r>
      <w:r w:rsidR="00977701" w:rsidRPr="00D72CA6">
        <w:rPr>
          <w:rFonts w:ascii="Times New Roman" w:hAnsi="Times New Roman" w:cs="Times New Roman"/>
          <w:sz w:val="24"/>
          <w:szCs w:val="24"/>
        </w:rPr>
        <w:t>1, including</w:t>
      </w:r>
      <w:r w:rsidRPr="00D72CA6">
        <w:rPr>
          <w:rFonts w:ascii="Times New Roman" w:hAnsi="Times New Roman" w:cs="Times New Roman"/>
          <w:sz w:val="24"/>
          <w:szCs w:val="24"/>
        </w:rPr>
        <w:t xml:space="preserve"> raw data and metadata and 6 R scripts to analyse these data. NB: The R script uses the “here()” command, and so is sensitive to directory structure relative to where the running R project is saved. To ensure ease of use, please store </w:t>
      </w:r>
      <w:r w:rsidR="00482590" w:rsidRPr="00D72CA6">
        <w:rPr>
          <w:rFonts w:ascii="Times New Roman" w:hAnsi="Times New Roman" w:cs="Times New Roman"/>
          <w:sz w:val="24"/>
          <w:szCs w:val="24"/>
        </w:rPr>
        <w:t xml:space="preserve">the “Plant_Metadata” file in the same </w:t>
      </w:r>
      <w:r w:rsidR="00977701" w:rsidRPr="00D72CA6">
        <w:rPr>
          <w:rFonts w:ascii="Times New Roman" w:hAnsi="Times New Roman" w:cs="Times New Roman"/>
          <w:sz w:val="24"/>
          <w:szCs w:val="24"/>
        </w:rPr>
        <w:t xml:space="preserve">parent </w:t>
      </w:r>
      <w:r w:rsidR="00482590" w:rsidRPr="00D72CA6">
        <w:rPr>
          <w:rFonts w:ascii="Times New Roman" w:hAnsi="Times New Roman" w:cs="Times New Roman"/>
          <w:sz w:val="24"/>
          <w:szCs w:val="24"/>
        </w:rPr>
        <w:t xml:space="preserve">directory as the R project, </w:t>
      </w:r>
      <w:r w:rsidRPr="00D72CA6">
        <w:rPr>
          <w:rFonts w:ascii="Times New Roman" w:hAnsi="Times New Roman" w:cs="Times New Roman"/>
          <w:sz w:val="24"/>
          <w:szCs w:val="24"/>
        </w:rPr>
        <w:t xml:space="preserve">raw data in “Raw_data” and store the Chlorophyll fluorescence data in “Proc_data.” The R script will create a directory “Results” and store model outputs, figures and summaries there.  </w:t>
      </w:r>
    </w:p>
    <w:p w14:paraId="472778B8" w14:textId="14136077" w:rsidR="004077B0" w:rsidRPr="00D72CA6" w:rsidRDefault="004077B0" w:rsidP="004077B0">
      <w:pPr>
        <w:jc w:val="center"/>
        <w:rPr>
          <w:rFonts w:ascii="Times New Roman" w:hAnsi="Times New Roman" w:cs="Times New Roman"/>
          <w:sz w:val="24"/>
          <w:szCs w:val="24"/>
        </w:rPr>
      </w:pPr>
      <w:r w:rsidRPr="00D72CA6">
        <w:rPr>
          <w:rFonts w:ascii="Times New Roman" w:hAnsi="Times New Roman" w:cs="Times New Roman"/>
          <w:sz w:val="24"/>
          <w:szCs w:val="24"/>
        </w:rPr>
        <w:t xml:space="preserve">Table </w:t>
      </w:r>
      <w:r w:rsidR="00C251AA">
        <w:rPr>
          <w:rFonts w:ascii="Times New Roman" w:hAnsi="Times New Roman" w:cs="Times New Roman"/>
          <w:sz w:val="24"/>
          <w:szCs w:val="24"/>
        </w:rPr>
        <w:t>2</w:t>
      </w:r>
      <w:r w:rsidRPr="00D72CA6">
        <w:rPr>
          <w:rFonts w:ascii="Times New Roman" w:hAnsi="Times New Roman" w:cs="Times New Roman"/>
          <w:sz w:val="24"/>
          <w:szCs w:val="24"/>
        </w:rPr>
        <w:t>: List of all files that are included in this EIDC deposit, including their file format and size in kilobytes (Kb)</w:t>
      </w:r>
    </w:p>
    <w:tbl>
      <w:tblPr>
        <w:tblW w:w="5098" w:type="dxa"/>
        <w:jc w:val="center"/>
        <w:tblLook w:val="04A0" w:firstRow="1" w:lastRow="0" w:firstColumn="1" w:lastColumn="0" w:noHBand="0" w:noVBand="1"/>
      </w:tblPr>
      <w:tblGrid>
        <w:gridCol w:w="2643"/>
        <w:gridCol w:w="960"/>
        <w:gridCol w:w="1693"/>
      </w:tblGrid>
      <w:tr w:rsidR="00BA1269" w:rsidRPr="00D72CA6" w14:paraId="5D30A23F" w14:textId="77777777" w:rsidTr="00BA1269">
        <w:trPr>
          <w:trHeight w:val="300"/>
          <w:jc w:val="center"/>
        </w:trPr>
        <w:tc>
          <w:tcPr>
            <w:tcW w:w="244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75B534"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Filename</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7B54F79"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Format</w:t>
            </w:r>
          </w:p>
        </w:tc>
        <w:tc>
          <w:tcPr>
            <w:tcW w:w="1693" w:type="dxa"/>
            <w:tcBorders>
              <w:top w:val="single" w:sz="4" w:space="0" w:color="auto"/>
              <w:left w:val="nil"/>
              <w:bottom w:val="single" w:sz="4" w:space="0" w:color="auto"/>
              <w:right w:val="single" w:sz="4" w:space="0" w:color="auto"/>
            </w:tcBorders>
            <w:shd w:val="clear" w:color="auto" w:fill="auto"/>
            <w:noWrap/>
            <w:vAlign w:val="bottom"/>
            <w:hideMark/>
          </w:tcPr>
          <w:p w14:paraId="01B6CF05"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Size</w:t>
            </w:r>
          </w:p>
        </w:tc>
      </w:tr>
      <w:tr w:rsidR="00BA1269" w:rsidRPr="00D72CA6" w14:paraId="1757CD70"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2DCD23E8"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Plant_Metadata</w:t>
            </w:r>
          </w:p>
        </w:tc>
        <w:tc>
          <w:tcPr>
            <w:tcW w:w="960" w:type="dxa"/>
            <w:tcBorders>
              <w:top w:val="nil"/>
              <w:left w:val="nil"/>
              <w:bottom w:val="single" w:sz="4" w:space="0" w:color="auto"/>
              <w:right w:val="single" w:sz="4" w:space="0" w:color="auto"/>
            </w:tcBorders>
            <w:shd w:val="clear" w:color="auto" w:fill="auto"/>
            <w:noWrap/>
            <w:vAlign w:val="bottom"/>
            <w:hideMark/>
          </w:tcPr>
          <w:p w14:paraId="31E73DA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0F35A06A"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31 Kb</w:t>
            </w:r>
          </w:p>
        </w:tc>
      </w:tr>
      <w:tr w:rsidR="00BA1269" w:rsidRPr="00D72CA6" w14:paraId="714F9800"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1E710DBE"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2022_BB</w:t>
            </w:r>
          </w:p>
        </w:tc>
        <w:tc>
          <w:tcPr>
            <w:tcW w:w="960" w:type="dxa"/>
            <w:tcBorders>
              <w:top w:val="nil"/>
              <w:left w:val="nil"/>
              <w:bottom w:val="single" w:sz="4" w:space="0" w:color="auto"/>
              <w:right w:val="single" w:sz="4" w:space="0" w:color="auto"/>
            </w:tcBorders>
            <w:shd w:val="clear" w:color="auto" w:fill="auto"/>
            <w:noWrap/>
            <w:vAlign w:val="bottom"/>
            <w:hideMark/>
          </w:tcPr>
          <w:p w14:paraId="7228F382"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2812B8FD"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53 Kb</w:t>
            </w:r>
          </w:p>
        </w:tc>
      </w:tr>
      <w:tr w:rsidR="00BA1269" w:rsidRPr="00D72CA6" w14:paraId="3692A626"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15872CE4"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2023_BB</w:t>
            </w:r>
          </w:p>
        </w:tc>
        <w:tc>
          <w:tcPr>
            <w:tcW w:w="960" w:type="dxa"/>
            <w:tcBorders>
              <w:top w:val="nil"/>
              <w:left w:val="nil"/>
              <w:bottom w:val="single" w:sz="4" w:space="0" w:color="auto"/>
              <w:right w:val="single" w:sz="4" w:space="0" w:color="auto"/>
            </w:tcBorders>
            <w:shd w:val="clear" w:color="auto" w:fill="auto"/>
            <w:noWrap/>
            <w:vAlign w:val="bottom"/>
            <w:hideMark/>
          </w:tcPr>
          <w:p w14:paraId="7DD1E816"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78C19C35"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9 Kb</w:t>
            </w:r>
          </w:p>
        </w:tc>
      </w:tr>
      <w:tr w:rsidR="00BA1269" w:rsidRPr="00D72CA6" w14:paraId="10AED53A"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32FCD440"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2024_BB</w:t>
            </w:r>
          </w:p>
        </w:tc>
        <w:tc>
          <w:tcPr>
            <w:tcW w:w="960" w:type="dxa"/>
            <w:tcBorders>
              <w:top w:val="nil"/>
              <w:left w:val="nil"/>
              <w:bottom w:val="single" w:sz="4" w:space="0" w:color="auto"/>
              <w:right w:val="single" w:sz="4" w:space="0" w:color="auto"/>
            </w:tcBorders>
            <w:shd w:val="clear" w:color="auto" w:fill="auto"/>
            <w:noWrap/>
            <w:vAlign w:val="bottom"/>
            <w:hideMark/>
          </w:tcPr>
          <w:p w14:paraId="286769ED"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2257784D"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8 Kb</w:t>
            </w:r>
          </w:p>
        </w:tc>
      </w:tr>
      <w:tr w:rsidR="00BA1269" w:rsidRPr="00D72CA6" w14:paraId="32EF507B"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1E36CED7"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2025_BB</w:t>
            </w:r>
          </w:p>
        </w:tc>
        <w:tc>
          <w:tcPr>
            <w:tcW w:w="960" w:type="dxa"/>
            <w:tcBorders>
              <w:top w:val="nil"/>
              <w:left w:val="nil"/>
              <w:bottom w:val="single" w:sz="4" w:space="0" w:color="auto"/>
              <w:right w:val="single" w:sz="4" w:space="0" w:color="auto"/>
            </w:tcBorders>
            <w:shd w:val="clear" w:color="auto" w:fill="auto"/>
            <w:noWrap/>
            <w:vAlign w:val="bottom"/>
            <w:hideMark/>
          </w:tcPr>
          <w:p w14:paraId="37A9CD7F"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083D4E3E"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12 Kb</w:t>
            </w:r>
          </w:p>
        </w:tc>
      </w:tr>
      <w:tr w:rsidR="00BA1269" w:rsidRPr="00D72CA6" w14:paraId="48FC586E"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21EF3BC1"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cardrona_climate_data</w:t>
            </w:r>
          </w:p>
        </w:tc>
        <w:tc>
          <w:tcPr>
            <w:tcW w:w="960" w:type="dxa"/>
            <w:tcBorders>
              <w:top w:val="nil"/>
              <w:left w:val="nil"/>
              <w:bottom w:val="single" w:sz="4" w:space="0" w:color="auto"/>
              <w:right w:val="single" w:sz="4" w:space="0" w:color="auto"/>
            </w:tcBorders>
            <w:shd w:val="clear" w:color="auto" w:fill="auto"/>
            <w:noWrap/>
            <w:vAlign w:val="bottom"/>
            <w:hideMark/>
          </w:tcPr>
          <w:p w14:paraId="71D41003"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6F772611"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1313 Kb</w:t>
            </w:r>
          </w:p>
        </w:tc>
      </w:tr>
      <w:tr w:rsidR="00BA1269" w:rsidRPr="00D72CA6" w14:paraId="2A4D8F80"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13D9505A"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Munsell_data</w:t>
            </w:r>
          </w:p>
        </w:tc>
        <w:tc>
          <w:tcPr>
            <w:tcW w:w="960" w:type="dxa"/>
            <w:tcBorders>
              <w:top w:val="nil"/>
              <w:left w:val="nil"/>
              <w:bottom w:val="single" w:sz="4" w:space="0" w:color="auto"/>
              <w:right w:val="single" w:sz="4" w:space="0" w:color="auto"/>
            </w:tcBorders>
            <w:shd w:val="clear" w:color="auto" w:fill="auto"/>
            <w:noWrap/>
            <w:vAlign w:val="bottom"/>
            <w:hideMark/>
          </w:tcPr>
          <w:p w14:paraId="12EC3EC0"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0C300C1E"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18 Kb</w:t>
            </w:r>
          </w:p>
        </w:tc>
      </w:tr>
      <w:tr w:rsidR="00BA1269" w:rsidRPr="00D72CA6" w14:paraId="3D5AC99C"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7C86E89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Quant_data</w:t>
            </w:r>
          </w:p>
        </w:tc>
        <w:tc>
          <w:tcPr>
            <w:tcW w:w="960" w:type="dxa"/>
            <w:tcBorders>
              <w:top w:val="nil"/>
              <w:left w:val="nil"/>
              <w:bottom w:val="single" w:sz="4" w:space="0" w:color="auto"/>
              <w:right w:val="single" w:sz="4" w:space="0" w:color="auto"/>
            </w:tcBorders>
            <w:shd w:val="clear" w:color="auto" w:fill="auto"/>
            <w:noWrap/>
            <w:vAlign w:val="bottom"/>
            <w:hideMark/>
          </w:tcPr>
          <w:p w14:paraId="5E966A9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4B84B684"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32 Kb</w:t>
            </w:r>
          </w:p>
        </w:tc>
      </w:tr>
      <w:tr w:rsidR="00BA1269" w:rsidRPr="00D72CA6" w14:paraId="05C3C5D8"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5EF52F7A"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CF</w:t>
            </w:r>
          </w:p>
        </w:tc>
        <w:tc>
          <w:tcPr>
            <w:tcW w:w="960" w:type="dxa"/>
            <w:tcBorders>
              <w:top w:val="nil"/>
              <w:left w:val="nil"/>
              <w:bottom w:val="single" w:sz="4" w:space="0" w:color="auto"/>
              <w:right w:val="single" w:sz="4" w:space="0" w:color="auto"/>
            </w:tcBorders>
            <w:shd w:val="clear" w:color="auto" w:fill="auto"/>
            <w:noWrap/>
            <w:vAlign w:val="bottom"/>
            <w:hideMark/>
          </w:tcPr>
          <w:p w14:paraId="7F2B31EF"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37279D21"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19 Kb</w:t>
            </w:r>
          </w:p>
        </w:tc>
      </w:tr>
      <w:tr w:rsidR="00BA1269" w:rsidRPr="00D72CA6" w14:paraId="56AE19FA"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4289B48E"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Climate_data_and_pca</w:t>
            </w:r>
          </w:p>
        </w:tc>
        <w:tc>
          <w:tcPr>
            <w:tcW w:w="960" w:type="dxa"/>
            <w:tcBorders>
              <w:top w:val="nil"/>
              <w:left w:val="nil"/>
              <w:bottom w:val="single" w:sz="4" w:space="0" w:color="auto"/>
              <w:right w:val="single" w:sz="4" w:space="0" w:color="auto"/>
            </w:tcBorders>
            <w:shd w:val="clear" w:color="auto" w:fill="auto"/>
            <w:noWrap/>
            <w:vAlign w:val="bottom"/>
            <w:hideMark/>
          </w:tcPr>
          <w:p w14:paraId="37E07132"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38635B30"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46 Kb</w:t>
            </w:r>
          </w:p>
        </w:tc>
      </w:tr>
      <w:tr w:rsidR="00BA1269" w:rsidRPr="00D72CA6" w14:paraId="6AE9D60E"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702767F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lastRenderedPageBreak/>
              <w:t>Climate_data_processing</w:t>
            </w:r>
          </w:p>
        </w:tc>
        <w:tc>
          <w:tcPr>
            <w:tcW w:w="960" w:type="dxa"/>
            <w:tcBorders>
              <w:top w:val="nil"/>
              <w:left w:val="nil"/>
              <w:bottom w:val="single" w:sz="4" w:space="0" w:color="auto"/>
              <w:right w:val="single" w:sz="4" w:space="0" w:color="auto"/>
            </w:tcBorders>
            <w:shd w:val="clear" w:color="auto" w:fill="auto"/>
            <w:noWrap/>
            <w:vAlign w:val="bottom"/>
            <w:hideMark/>
          </w:tcPr>
          <w:p w14:paraId="32CCF20F"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7B6EF63F"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3 Kb</w:t>
            </w:r>
          </w:p>
        </w:tc>
      </w:tr>
      <w:tr w:rsidR="00BA1269" w:rsidRPr="00D72CA6" w14:paraId="689D48AE"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27C5CB00"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Munsell_colours</w:t>
            </w:r>
          </w:p>
        </w:tc>
        <w:tc>
          <w:tcPr>
            <w:tcW w:w="960" w:type="dxa"/>
            <w:tcBorders>
              <w:top w:val="nil"/>
              <w:left w:val="nil"/>
              <w:bottom w:val="single" w:sz="4" w:space="0" w:color="auto"/>
              <w:right w:val="single" w:sz="4" w:space="0" w:color="auto"/>
            </w:tcBorders>
            <w:shd w:val="clear" w:color="auto" w:fill="auto"/>
            <w:noWrap/>
            <w:vAlign w:val="bottom"/>
            <w:hideMark/>
          </w:tcPr>
          <w:p w14:paraId="6A0998D6"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0D3941C8"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11 Kb</w:t>
            </w:r>
          </w:p>
        </w:tc>
      </w:tr>
      <w:tr w:rsidR="00BA1269" w:rsidRPr="00D72CA6" w14:paraId="0EA7851E"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74FA2FCC"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Phenology</w:t>
            </w:r>
          </w:p>
        </w:tc>
        <w:tc>
          <w:tcPr>
            <w:tcW w:w="960" w:type="dxa"/>
            <w:tcBorders>
              <w:top w:val="nil"/>
              <w:left w:val="nil"/>
              <w:bottom w:val="single" w:sz="4" w:space="0" w:color="auto"/>
              <w:right w:val="single" w:sz="4" w:space="0" w:color="auto"/>
            </w:tcBorders>
            <w:shd w:val="clear" w:color="auto" w:fill="auto"/>
            <w:noWrap/>
            <w:vAlign w:val="bottom"/>
            <w:hideMark/>
          </w:tcPr>
          <w:p w14:paraId="3D08973A"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0D9E5820"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45 Kb</w:t>
            </w:r>
          </w:p>
        </w:tc>
      </w:tr>
      <w:tr w:rsidR="00BA1269" w:rsidRPr="00D72CA6" w14:paraId="2FB552EE"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4BAA79EF"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Quantitative_genetics</w:t>
            </w:r>
          </w:p>
        </w:tc>
        <w:tc>
          <w:tcPr>
            <w:tcW w:w="960" w:type="dxa"/>
            <w:tcBorders>
              <w:top w:val="nil"/>
              <w:left w:val="nil"/>
              <w:bottom w:val="single" w:sz="4" w:space="0" w:color="auto"/>
              <w:right w:val="single" w:sz="4" w:space="0" w:color="auto"/>
            </w:tcBorders>
            <w:shd w:val="clear" w:color="auto" w:fill="auto"/>
            <w:noWrap/>
            <w:vAlign w:val="bottom"/>
            <w:hideMark/>
          </w:tcPr>
          <w:p w14:paraId="66149BD7"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R</w:t>
            </w:r>
          </w:p>
        </w:tc>
        <w:tc>
          <w:tcPr>
            <w:tcW w:w="1693" w:type="dxa"/>
            <w:tcBorders>
              <w:top w:val="nil"/>
              <w:left w:val="nil"/>
              <w:bottom w:val="single" w:sz="4" w:space="0" w:color="auto"/>
              <w:right w:val="single" w:sz="4" w:space="0" w:color="auto"/>
            </w:tcBorders>
            <w:shd w:val="clear" w:color="auto" w:fill="auto"/>
            <w:noWrap/>
            <w:vAlign w:val="bottom"/>
            <w:hideMark/>
          </w:tcPr>
          <w:p w14:paraId="3FAB7507"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44 Kb</w:t>
            </w:r>
          </w:p>
        </w:tc>
      </w:tr>
      <w:tr w:rsidR="00BA1269" w:rsidRPr="00D72CA6" w14:paraId="4BC077F8"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5A3B2F94"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CF_8.2.24_TS_Av</w:t>
            </w:r>
          </w:p>
        </w:tc>
        <w:tc>
          <w:tcPr>
            <w:tcW w:w="960" w:type="dxa"/>
            <w:tcBorders>
              <w:top w:val="nil"/>
              <w:left w:val="nil"/>
              <w:bottom w:val="single" w:sz="4" w:space="0" w:color="auto"/>
              <w:right w:val="single" w:sz="4" w:space="0" w:color="auto"/>
            </w:tcBorders>
            <w:shd w:val="clear" w:color="auto" w:fill="auto"/>
            <w:noWrap/>
            <w:vAlign w:val="bottom"/>
            <w:hideMark/>
          </w:tcPr>
          <w:p w14:paraId="2B9D26A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46E14929"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132 Kb</w:t>
            </w:r>
          </w:p>
        </w:tc>
      </w:tr>
      <w:tr w:rsidR="00BA1269" w:rsidRPr="00D72CA6" w14:paraId="525C6A40"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31C74946"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CF_8.3.24_TS_Av</w:t>
            </w:r>
          </w:p>
        </w:tc>
        <w:tc>
          <w:tcPr>
            <w:tcW w:w="960" w:type="dxa"/>
            <w:tcBorders>
              <w:top w:val="nil"/>
              <w:left w:val="nil"/>
              <w:bottom w:val="single" w:sz="4" w:space="0" w:color="auto"/>
              <w:right w:val="single" w:sz="4" w:space="0" w:color="auto"/>
            </w:tcBorders>
            <w:shd w:val="clear" w:color="auto" w:fill="auto"/>
            <w:noWrap/>
            <w:vAlign w:val="bottom"/>
            <w:hideMark/>
          </w:tcPr>
          <w:p w14:paraId="4552D6A6"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16017E71"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111 Kb</w:t>
            </w:r>
          </w:p>
        </w:tc>
      </w:tr>
      <w:tr w:rsidR="00BA1269" w:rsidRPr="00D72CA6" w14:paraId="20A74F67" w14:textId="77777777" w:rsidTr="00BA1269">
        <w:trPr>
          <w:trHeight w:val="300"/>
          <w:jc w:val="center"/>
        </w:trPr>
        <w:tc>
          <w:tcPr>
            <w:tcW w:w="2445" w:type="dxa"/>
            <w:tcBorders>
              <w:top w:val="nil"/>
              <w:left w:val="single" w:sz="4" w:space="0" w:color="auto"/>
              <w:bottom w:val="single" w:sz="4" w:space="0" w:color="auto"/>
              <w:right w:val="single" w:sz="4" w:space="0" w:color="auto"/>
            </w:tcBorders>
            <w:shd w:val="clear" w:color="auto" w:fill="auto"/>
            <w:noWrap/>
            <w:vAlign w:val="bottom"/>
            <w:hideMark/>
          </w:tcPr>
          <w:p w14:paraId="3E64F1BE"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CF_12.4.24_TS_Av</w:t>
            </w:r>
          </w:p>
        </w:tc>
        <w:tc>
          <w:tcPr>
            <w:tcW w:w="960" w:type="dxa"/>
            <w:tcBorders>
              <w:top w:val="nil"/>
              <w:left w:val="nil"/>
              <w:bottom w:val="single" w:sz="4" w:space="0" w:color="auto"/>
              <w:right w:val="single" w:sz="4" w:space="0" w:color="auto"/>
            </w:tcBorders>
            <w:shd w:val="clear" w:color="auto" w:fill="auto"/>
            <w:noWrap/>
            <w:vAlign w:val="bottom"/>
            <w:hideMark/>
          </w:tcPr>
          <w:p w14:paraId="419ACD5B"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csv</w:t>
            </w:r>
          </w:p>
        </w:tc>
        <w:tc>
          <w:tcPr>
            <w:tcW w:w="1693" w:type="dxa"/>
            <w:tcBorders>
              <w:top w:val="nil"/>
              <w:left w:val="nil"/>
              <w:bottom w:val="single" w:sz="4" w:space="0" w:color="auto"/>
              <w:right w:val="single" w:sz="4" w:space="0" w:color="auto"/>
            </w:tcBorders>
            <w:shd w:val="clear" w:color="auto" w:fill="auto"/>
            <w:noWrap/>
            <w:vAlign w:val="bottom"/>
            <w:hideMark/>
          </w:tcPr>
          <w:p w14:paraId="6AC4F2E6" w14:textId="77777777" w:rsidR="00BA1269" w:rsidRPr="00D72CA6" w:rsidRDefault="00BA1269" w:rsidP="00BA1269">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kern w:val="0"/>
                <w:sz w:val="24"/>
                <w:szCs w:val="24"/>
                <w:lang w:eastAsia="en-GB"/>
                <w14:ligatures w14:val="none"/>
              </w:rPr>
              <w:t>152 Kb</w:t>
            </w:r>
          </w:p>
        </w:tc>
      </w:tr>
    </w:tbl>
    <w:p w14:paraId="62E72E39" w14:textId="77777777" w:rsidR="00977701" w:rsidRPr="00D72CA6" w:rsidRDefault="00977701" w:rsidP="00AB38F8">
      <w:pPr>
        <w:rPr>
          <w:rFonts w:ascii="Times New Roman" w:hAnsi="Times New Roman" w:cs="Times New Roman"/>
          <w:sz w:val="24"/>
          <w:szCs w:val="24"/>
        </w:rPr>
      </w:pPr>
    </w:p>
    <w:p w14:paraId="628A7AAB" w14:textId="77777777" w:rsidR="00977701" w:rsidRPr="00D72CA6" w:rsidRDefault="00977701" w:rsidP="00977701">
      <w:pPr>
        <w:rPr>
          <w:rFonts w:ascii="Times New Roman" w:hAnsi="Times New Roman" w:cs="Times New Roman"/>
          <w:b/>
          <w:bCs/>
          <w:sz w:val="24"/>
          <w:szCs w:val="24"/>
        </w:rPr>
      </w:pPr>
      <w:r w:rsidRPr="00D72CA6">
        <w:rPr>
          <w:rFonts w:ascii="Times New Roman" w:hAnsi="Times New Roman" w:cs="Times New Roman"/>
          <w:b/>
          <w:bCs/>
          <w:sz w:val="24"/>
          <w:szCs w:val="24"/>
        </w:rPr>
        <w:t xml:space="preserve">Datasets in this repository and their contents: </w:t>
      </w:r>
    </w:p>
    <w:p w14:paraId="28221490" w14:textId="40EFCBCA" w:rsidR="00482590" w:rsidRPr="00D72CA6" w:rsidRDefault="00482590">
      <w:pPr>
        <w:rPr>
          <w:rFonts w:ascii="Times New Roman" w:hAnsi="Times New Roman" w:cs="Times New Roman"/>
          <w:sz w:val="24"/>
          <w:szCs w:val="24"/>
        </w:rPr>
      </w:pPr>
      <w:r w:rsidRPr="00D72CA6">
        <w:rPr>
          <w:rFonts w:ascii="Times New Roman" w:hAnsi="Times New Roman" w:cs="Times New Roman"/>
          <w:sz w:val="24"/>
          <w:szCs w:val="24"/>
        </w:rPr>
        <w:t>“Plant_metadata.csv”:</w:t>
      </w:r>
    </w:p>
    <w:tbl>
      <w:tblPr>
        <w:tblW w:w="10060" w:type="dxa"/>
        <w:jc w:val="center"/>
        <w:tblLook w:val="04A0" w:firstRow="1" w:lastRow="0" w:firstColumn="1" w:lastColumn="0" w:noHBand="0" w:noVBand="1"/>
      </w:tblPr>
      <w:tblGrid>
        <w:gridCol w:w="1704"/>
        <w:gridCol w:w="6598"/>
        <w:gridCol w:w="1758"/>
      </w:tblGrid>
      <w:tr w:rsidR="00830A43" w:rsidRPr="00D72CA6" w14:paraId="42E88724" w14:textId="77777777" w:rsidTr="00830A43">
        <w:trPr>
          <w:trHeight w:val="300"/>
          <w:jc w:val="center"/>
        </w:trPr>
        <w:tc>
          <w:tcPr>
            <w:tcW w:w="1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1B67A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598" w:type="dxa"/>
            <w:tcBorders>
              <w:top w:val="single" w:sz="4" w:space="0" w:color="auto"/>
              <w:left w:val="nil"/>
              <w:bottom w:val="single" w:sz="4" w:space="0" w:color="auto"/>
              <w:right w:val="single" w:sz="4" w:space="0" w:color="auto"/>
            </w:tcBorders>
            <w:shd w:val="clear" w:color="auto" w:fill="auto"/>
            <w:noWrap/>
            <w:vAlign w:val="bottom"/>
            <w:hideMark/>
          </w:tcPr>
          <w:p w14:paraId="2E65142B"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758" w:type="dxa"/>
            <w:tcBorders>
              <w:top w:val="single" w:sz="4" w:space="0" w:color="auto"/>
              <w:left w:val="nil"/>
              <w:bottom w:val="single" w:sz="4" w:space="0" w:color="auto"/>
              <w:right w:val="single" w:sz="4" w:space="0" w:color="auto"/>
            </w:tcBorders>
            <w:shd w:val="clear" w:color="auto" w:fill="auto"/>
            <w:noWrap/>
            <w:vAlign w:val="bottom"/>
            <w:hideMark/>
          </w:tcPr>
          <w:p w14:paraId="76C3719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830A43" w:rsidRPr="00D72CA6" w14:paraId="11E63586"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6D954438" w14:textId="1FB1CFA2" w:rsidR="00830A43" w:rsidRPr="00D72CA6" w:rsidRDefault="00FD659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598" w:type="dxa"/>
            <w:tcBorders>
              <w:top w:val="nil"/>
              <w:left w:val="nil"/>
              <w:bottom w:val="single" w:sz="4" w:space="0" w:color="auto"/>
              <w:right w:val="single" w:sz="4" w:space="0" w:color="auto"/>
            </w:tcBorders>
            <w:shd w:val="clear" w:color="auto" w:fill="auto"/>
            <w:noWrap/>
            <w:vAlign w:val="bottom"/>
            <w:hideMark/>
          </w:tcPr>
          <w:p w14:paraId="126717E0"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Unique, numeric plant identifiers (1-540)</w:t>
            </w:r>
          </w:p>
        </w:tc>
        <w:tc>
          <w:tcPr>
            <w:tcW w:w="1758" w:type="dxa"/>
            <w:tcBorders>
              <w:top w:val="nil"/>
              <w:left w:val="nil"/>
              <w:bottom w:val="single" w:sz="4" w:space="0" w:color="auto"/>
              <w:right w:val="single" w:sz="4" w:space="0" w:color="auto"/>
            </w:tcBorders>
            <w:shd w:val="clear" w:color="auto" w:fill="auto"/>
            <w:noWrap/>
            <w:vAlign w:val="bottom"/>
            <w:hideMark/>
          </w:tcPr>
          <w:p w14:paraId="180BA5D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49A3F257"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47A0184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Region</w:t>
            </w:r>
          </w:p>
        </w:tc>
        <w:tc>
          <w:tcPr>
            <w:tcW w:w="6598" w:type="dxa"/>
            <w:tcBorders>
              <w:top w:val="nil"/>
              <w:left w:val="nil"/>
              <w:bottom w:val="single" w:sz="4" w:space="0" w:color="auto"/>
              <w:right w:val="single" w:sz="4" w:space="0" w:color="auto"/>
            </w:tcBorders>
            <w:shd w:val="clear" w:color="auto" w:fill="auto"/>
            <w:noWrap/>
            <w:vAlign w:val="bottom"/>
            <w:hideMark/>
          </w:tcPr>
          <w:p w14:paraId="63D0BB14"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region that each population was assigned to, including "Scotland," "South England" and "Lake District"</w:t>
            </w:r>
          </w:p>
        </w:tc>
        <w:tc>
          <w:tcPr>
            <w:tcW w:w="1758" w:type="dxa"/>
            <w:tcBorders>
              <w:top w:val="nil"/>
              <w:left w:val="nil"/>
              <w:bottom w:val="single" w:sz="4" w:space="0" w:color="auto"/>
              <w:right w:val="single" w:sz="4" w:space="0" w:color="auto"/>
            </w:tcBorders>
            <w:shd w:val="clear" w:color="auto" w:fill="auto"/>
            <w:noWrap/>
            <w:vAlign w:val="bottom"/>
            <w:hideMark/>
          </w:tcPr>
          <w:p w14:paraId="59A5D33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5342B827"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3194D0E4"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Pop</w:t>
            </w:r>
          </w:p>
        </w:tc>
        <w:tc>
          <w:tcPr>
            <w:tcW w:w="6598" w:type="dxa"/>
            <w:tcBorders>
              <w:top w:val="nil"/>
              <w:left w:val="nil"/>
              <w:bottom w:val="single" w:sz="4" w:space="0" w:color="auto"/>
              <w:right w:val="single" w:sz="4" w:space="0" w:color="auto"/>
            </w:tcBorders>
            <w:shd w:val="clear" w:color="auto" w:fill="auto"/>
            <w:noWrap/>
            <w:vAlign w:val="bottom"/>
            <w:hideMark/>
          </w:tcPr>
          <w:p w14:paraId="351E9A23"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population that each tree was sampled from as a two-letter abbreviation</w:t>
            </w:r>
          </w:p>
        </w:tc>
        <w:tc>
          <w:tcPr>
            <w:tcW w:w="1758" w:type="dxa"/>
            <w:tcBorders>
              <w:top w:val="nil"/>
              <w:left w:val="nil"/>
              <w:bottom w:val="single" w:sz="4" w:space="0" w:color="auto"/>
              <w:right w:val="single" w:sz="4" w:space="0" w:color="auto"/>
            </w:tcBorders>
            <w:shd w:val="clear" w:color="auto" w:fill="auto"/>
            <w:noWrap/>
            <w:vAlign w:val="bottom"/>
            <w:hideMark/>
          </w:tcPr>
          <w:p w14:paraId="720C0C5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54F4E8A0"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419F99E4"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Fam</w:t>
            </w:r>
          </w:p>
        </w:tc>
        <w:tc>
          <w:tcPr>
            <w:tcW w:w="6598" w:type="dxa"/>
            <w:tcBorders>
              <w:top w:val="nil"/>
              <w:left w:val="nil"/>
              <w:bottom w:val="single" w:sz="4" w:space="0" w:color="auto"/>
              <w:right w:val="single" w:sz="4" w:space="0" w:color="auto"/>
            </w:tcBorders>
            <w:shd w:val="clear" w:color="auto" w:fill="auto"/>
            <w:noWrap/>
            <w:vAlign w:val="bottom"/>
            <w:hideMark/>
          </w:tcPr>
          <w:p w14:paraId="22DFA4FC"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family that each tree belonged to</w:t>
            </w:r>
          </w:p>
        </w:tc>
        <w:tc>
          <w:tcPr>
            <w:tcW w:w="1758" w:type="dxa"/>
            <w:tcBorders>
              <w:top w:val="nil"/>
              <w:left w:val="nil"/>
              <w:bottom w:val="single" w:sz="4" w:space="0" w:color="auto"/>
              <w:right w:val="single" w:sz="4" w:space="0" w:color="auto"/>
            </w:tcBorders>
            <w:shd w:val="clear" w:color="auto" w:fill="auto"/>
            <w:noWrap/>
            <w:vAlign w:val="bottom"/>
            <w:hideMark/>
          </w:tcPr>
          <w:p w14:paraId="78C9134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73985144"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528D228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Sex</w:t>
            </w:r>
          </w:p>
        </w:tc>
        <w:tc>
          <w:tcPr>
            <w:tcW w:w="6598" w:type="dxa"/>
            <w:tcBorders>
              <w:top w:val="nil"/>
              <w:left w:val="nil"/>
              <w:bottom w:val="single" w:sz="4" w:space="0" w:color="auto"/>
              <w:right w:val="single" w:sz="4" w:space="0" w:color="auto"/>
            </w:tcBorders>
            <w:shd w:val="clear" w:color="auto" w:fill="auto"/>
            <w:noWrap/>
            <w:vAlign w:val="bottom"/>
            <w:hideMark/>
          </w:tcPr>
          <w:p w14:paraId="0B739906" w14:textId="0926EECE"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sex of each plant, where available, as determined by identifying strobili or berries</w:t>
            </w:r>
          </w:p>
        </w:tc>
        <w:tc>
          <w:tcPr>
            <w:tcW w:w="1758" w:type="dxa"/>
            <w:tcBorders>
              <w:top w:val="nil"/>
              <w:left w:val="nil"/>
              <w:bottom w:val="single" w:sz="4" w:space="0" w:color="auto"/>
              <w:right w:val="single" w:sz="4" w:space="0" w:color="auto"/>
            </w:tcBorders>
            <w:shd w:val="clear" w:color="auto" w:fill="auto"/>
            <w:noWrap/>
            <w:vAlign w:val="bottom"/>
            <w:hideMark/>
          </w:tcPr>
          <w:p w14:paraId="6CC2432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714E8CCA"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35728CD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Age class</w:t>
            </w:r>
          </w:p>
        </w:tc>
        <w:tc>
          <w:tcPr>
            <w:tcW w:w="6598" w:type="dxa"/>
            <w:tcBorders>
              <w:top w:val="nil"/>
              <w:left w:val="nil"/>
              <w:bottom w:val="single" w:sz="4" w:space="0" w:color="auto"/>
              <w:right w:val="single" w:sz="4" w:space="0" w:color="auto"/>
            </w:tcBorders>
            <w:shd w:val="clear" w:color="auto" w:fill="auto"/>
            <w:noWrap/>
            <w:vAlign w:val="bottom"/>
            <w:hideMark/>
          </w:tcPr>
          <w:p w14:paraId="06913C85"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age class of each plant, referring to when they were potted up from seedling trays into individual pots</w:t>
            </w:r>
          </w:p>
        </w:tc>
        <w:tc>
          <w:tcPr>
            <w:tcW w:w="1758" w:type="dxa"/>
            <w:tcBorders>
              <w:top w:val="nil"/>
              <w:left w:val="nil"/>
              <w:bottom w:val="single" w:sz="4" w:space="0" w:color="auto"/>
              <w:right w:val="single" w:sz="4" w:space="0" w:color="auto"/>
            </w:tcBorders>
            <w:shd w:val="clear" w:color="auto" w:fill="auto"/>
            <w:noWrap/>
            <w:vAlign w:val="bottom"/>
            <w:hideMark/>
          </w:tcPr>
          <w:p w14:paraId="0CCB60D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583356FE"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6D7C112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w:t>
            </w:r>
          </w:p>
        </w:tc>
        <w:tc>
          <w:tcPr>
            <w:tcW w:w="6598" w:type="dxa"/>
            <w:tcBorders>
              <w:top w:val="nil"/>
              <w:left w:val="nil"/>
              <w:bottom w:val="single" w:sz="4" w:space="0" w:color="auto"/>
              <w:right w:val="single" w:sz="4" w:space="0" w:color="auto"/>
            </w:tcBorders>
            <w:shd w:val="clear" w:color="auto" w:fill="auto"/>
            <w:noWrap/>
            <w:vAlign w:val="bottom"/>
            <w:hideMark/>
          </w:tcPr>
          <w:p w14:paraId="4BABC57C"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the tree is a trial tree or a filler</w:t>
            </w:r>
          </w:p>
        </w:tc>
        <w:tc>
          <w:tcPr>
            <w:tcW w:w="1758" w:type="dxa"/>
            <w:tcBorders>
              <w:top w:val="nil"/>
              <w:left w:val="nil"/>
              <w:bottom w:val="single" w:sz="4" w:space="0" w:color="auto"/>
              <w:right w:val="single" w:sz="4" w:space="0" w:color="auto"/>
            </w:tcBorders>
            <w:shd w:val="clear" w:color="auto" w:fill="auto"/>
            <w:noWrap/>
            <w:vAlign w:val="bottom"/>
            <w:hideMark/>
          </w:tcPr>
          <w:p w14:paraId="17C413AB"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06798D76"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449D403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GH_block</w:t>
            </w:r>
          </w:p>
        </w:tc>
        <w:tc>
          <w:tcPr>
            <w:tcW w:w="6598" w:type="dxa"/>
            <w:tcBorders>
              <w:top w:val="nil"/>
              <w:left w:val="nil"/>
              <w:bottom w:val="single" w:sz="4" w:space="0" w:color="auto"/>
              <w:right w:val="single" w:sz="4" w:space="0" w:color="auto"/>
            </w:tcBorders>
            <w:shd w:val="clear" w:color="auto" w:fill="auto"/>
            <w:noWrap/>
            <w:vAlign w:val="bottom"/>
            <w:hideMark/>
          </w:tcPr>
          <w:p w14:paraId="5FB64890"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block that each plant was assigned to in the glasshouse</w:t>
            </w:r>
          </w:p>
        </w:tc>
        <w:tc>
          <w:tcPr>
            <w:tcW w:w="1758" w:type="dxa"/>
            <w:tcBorders>
              <w:top w:val="nil"/>
              <w:left w:val="nil"/>
              <w:bottom w:val="single" w:sz="4" w:space="0" w:color="auto"/>
              <w:right w:val="single" w:sz="4" w:space="0" w:color="auto"/>
            </w:tcBorders>
            <w:shd w:val="clear" w:color="auto" w:fill="auto"/>
            <w:noWrap/>
            <w:vAlign w:val="bottom"/>
            <w:hideMark/>
          </w:tcPr>
          <w:p w14:paraId="6F0AA56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1E059AE5"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00349E5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GH_pos</w:t>
            </w:r>
          </w:p>
        </w:tc>
        <w:tc>
          <w:tcPr>
            <w:tcW w:w="6598" w:type="dxa"/>
            <w:tcBorders>
              <w:top w:val="nil"/>
              <w:left w:val="nil"/>
              <w:bottom w:val="single" w:sz="4" w:space="0" w:color="auto"/>
              <w:right w:val="single" w:sz="4" w:space="0" w:color="auto"/>
            </w:tcBorders>
            <w:shd w:val="clear" w:color="auto" w:fill="auto"/>
            <w:noWrap/>
            <w:vAlign w:val="bottom"/>
            <w:hideMark/>
          </w:tcPr>
          <w:p w14:paraId="7DAB4B77"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position (within block) of each plant in the glasshouse</w:t>
            </w:r>
          </w:p>
        </w:tc>
        <w:tc>
          <w:tcPr>
            <w:tcW w:w="1758" w:type="dxa"/>
            <w:tcBorders>
              <w:top w:val="nil"/>
              <w:left w:val="nil"/>
              <w:bottom w:val="single" w:sz="4" w:space="0" w:color="auto"/>
              <w:right w:val="single" w:sz="4" w:space="0" w:color="auto"/>
            </w:tcBorders>
            <w:shd w:val="clear" w:color="auto" w:fill="auto"/>
            <w:noWrap/>
            <w:vAlign w:val="bottom"/>
            <w:hideMark/>
          </w:tcPr>
          <w:p w14:paraId="2F7B089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17E676C5"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5813F75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F_block</w:t>
            </w:r>
          </w:p>
        </w:tc>
        <w:tc>
          <w:tcPr>
            <w:tcW w:w="6598" w:type="dxa"/>
            <w:tcBorders>
              <w:top w:val="nil"/>
              <w:left w:val="nil"/>
              <w:bottom w:val="single" w:sz="4" w:space="0" w:color="auto"/>
              <w:right w:val="single" w:sz="4" w:space="0" w:color="auto"/>
            </w:tcBorders>
            <w:shd w:val="clear" w:color="auto" w:fill="auto"/>
            <w:noWrap/>
            <w:vAlign w:val="bottom"/>
            <w:hideMark/>
          </w:tcPr>
          <w:p w14:paraId="1104AEA2"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block that each plant was assigned to in the field</w:t>
            </w:r>
          </w:p>
        </w:tc>
        <w:tc>
          <w:tcPr>
            <w:tcW w:w="1758" w:type="dxa"/>
            <w:tcBorders>
              <w:top w:val="nil"/>
              <w:left w:val="nil"/>
              <w:bottom w:val="single" w:sz="4" w:space="0" w:color="auto"/>
              <w:right w:val="single" w:sz="4" w:space="0" w:color="auto"/>
            </w:tcBorders>
            <w:shd w:val="clear" w:color="auto" w:fill="auto"/>
            <w:noWrap/>
            <w:vAlign w:val="bottom"/>
            <w:hideMark/>
          </w:tcPr>
          <w:p w14:paraId="7BAC312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1C0B92F2"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7F670FB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F_id_original</w:t>
            </w:r>
          </w:p>
        </w:tc>
        <w:tc>
          <w:tcPr>
            <w:tcW w:w="6598" w:type="dxa"/>
            <w:tcBorders>
              <w:top w:val="nil"/>
              <w:left w:val="nil"/>
              <w:bottom w:val="single" w:sz="4" w:space="0" w:color="auto"/>
              <w:right w:val="single" w:sz="4" w:space="0" w:color="auto"/>
            </w:tcBorders>
            <w:shd w:val="clear" w:color="auto" w:fill="auto"/>
            <w:noWrap/>
            <w:vAlign w:val="bottom"/>
            <w:hideMark/>
          </w:tcPr>
          <w:p w14:paraId="2FD21F58"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original field ID that was assigned to each plant</w:t>
            </w:r>
          </w:p>
        </w:tc>
        <w:tc>
          <w:tcPr>
            <w:tcW w:w="1758" w:type="dxa"/>
            <w:tcBorders>
              <w:top w:val="nil"/>
              <w:left w:val="nil"/>
              <w:bottom w:val="single" w:sz="4" w:space="0" w:color="auto"/>
              <w:right w:val="single" w:sz="4" w:space="0" w:color="auto"/>
            </w:tcBorders>
            <w:shd w:val="clear" w:color="auto" w:fill="auto"/>
            <w:noWrap/>
            <w:vAlign w:val="bottom"/>
            <w:hideMark/>
          </w:tcPr>
          <w:p w14:paraId="2B093A3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2A015AD9"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0311198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F_id_new</w:t>
            </w:r>
          </w:p>
        </w:tc>
        <w:tc>
          <w:tcPr>
            <w:tcW w:w="6598" w:type="dxa"/>
            <w:tcBorders>
              <w:top w:val="nil"/>
              <w:left w:val="nil"/>
              <w:bottom w:val="single" w:sz="4" w:space="0" w:color="auto"/>
              <w:right w:val="single" w:sz="4" w:space="0" w:color="auto"/>
            </w:tcBorders>
            <w:shd w:val="clear" w:color="auto" w:fill="auto"/>
            <w:noWrap/>
            <w:vAlign w:val="bottom"/>
            <w:hideMark/>
          </w:tcPr>
          <w:p w14:paraId="420CC15B" w14:textId="72C2A101"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new ID that superseded F_id_original after 2023</w:t>
            </w:r>
          </w:p>
        </w:tc>
        <w:tc>
          <w:tcPr>
            <w:tcW w:w="1758" w:type="dxa"/>
            <w:tcBorders>
              <w:top w:val="nil"/>
              <w:left w:val="nil"/>
              <w:bottom w:val="single" w:sz="4" w:space="0" w:color="auto"/>
              <w:right w:val="single" w:sz="4" w:space="0" w:color="auto"/>
            </w:tcBorders>
            <w:shd w:val="clear" w:color="auto" w:fill="auto"/>
            <w:noWrap/>
            <w:vAlign w:val="bottom"/>
            <w:hideMark/>
          </w:tcPr>
          <w:p w14:paraId="7E62A92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6FA93E55"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11070A8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F_row</w:t>
            </w:r>
          </w:p>
        </w:tc>
        <w:tc>
          <w:tcPr>
            <w:tcW w:w="6598" w:type="dxa"/>
            <w:tcBorders>
              <w:top w:val="nil"/>
              <w:left w:val="nil"/>
              <w:bottom w:val="single" w:sz="4" w:space="0" w:color="auto"/>
              <w:right w:val="single" w:sz="4" w:space="0" w:color="auto"/>
            </w:tcBorders>
            <w:shd w:val="clear" w:color="auto" w:fill="auto"/>
            <w:noWrap/>
            <w:vAlign w:val="bottom"/>
            <w:hideMark/>
          </w:tcPr>
          <w:p w14:paraId="562BB2C3"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row that each plant was in in the field layout (1-18)</w:t>
            </w:r>
          </w:p>
        </w:tc>
        <w:tc>
          <w:tcPr>
            <w:tcW w:w="1758" w:type="dxa"/>
            <w:tcBorders>
              <w:top w:val="nil"/>
              <w:left w:val="nil"/>
              <w:bottom w:val="single" w:sz="4" w:space="0" w:color="auto"/>
              <w:right w:val="single" w:sz="4" w:space="0" w:color="auto"/>
            </w:tcBorders>
            <w:shd w:val="clear" w:color="auto" w:fill="auto"/>
            <w:noWrap/>
            <w:vAlign w:val="bottom"/>
            <w:hideMark/>
          </w:tcPr>
          <w:p w14:paraId="6575B4E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32EAA5B6"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4AC922D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F_column</w:t>
            </w:r>
          </w:p>
        </w:tc>
        <w:tc>
          <w:tcPr>
            <w:tcW w:w="6598" w:type="dxa"/>
            <w:tcBorders>
              <w:top w:val="nil"/>
              <w:left w:val="nil"/>
              <w:bottom w:val="single" w:sz="4" w:space="0" w:color="auto"/>
              <w:right w:val="single" w:sz="4" w:space="0" w:color="auto"/>
            </w:tcBorders>
            <w:shd w:val="clear" w:color="auto" w:fill="auto"/>
            <w:noWrap/>
            <w:vAlign w:val="bottom"/>
            <w:hideMark/>
          </w:tcPr>
          <w:p w14:paraId="214B45FD"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column that each plant was in in the field layout (1-30)</w:t>
            </w:r>
          </w:p>
        </w:tc>
        <w:tc>
          <w:tcPr>
            <w:tcW w:w="1758" w:type="dxa"/>
            <w:tcBorders>
              <w:top w:val="nil"/>
              <w:left w:val="nil"/>
              <w:bottom w:val="single" w:sz="4" w:space="0" w:color="auto"/>
              <w:right w:val="single" w:sz="4" w:space="0" w:color="auto"/>
            </w:tcBorders>
            <w:shd w:val="clear" w:color="auto" w:fill="auto"/>
            <w:noWrap/>
            <w:vAlign w:val="bottom"/>
            <w:hideMark/>
          </w:tcPr>
          <w:p w14:paraId="5FC8BC3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66695438"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6EE4156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Dead</w:t>
            </w:r>
          </w:p>
        </w:tc>
        <w:tc>
          <w:tcPr>
            <w:tcW w:w="6598" w:type="dxa"/>
            <w:tcBorders>
              <w:top w:val="nil"/>
              <w:left w:val="nil"/>
              <w:bottom w:val="single" w:sz="4" w:space="0" w:color="auto"/>
              <w:right w:val="single" w:sz="4" w:space="0" w:color="auto"/>
            </w:tcBorders>
            <w:shd w:val="clear" w:color="auto" w:fill="auto"/>
            <w:noWrap/>
            <w:vAlign w:val="bottom"/>
            <w:hideMark/>
          </w:tcPr>
          <w:p w14:paraId="3F14F10C"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Instances where trees died after planting out in 2020</w:t>
            </w:r>
          </w:p>
        </w:tc>
        <w:tc>
          <w:tcPr>
            <w:tcW w:w="1758" w:type="dxa"/>
            <w:tcBorders>
              <w:top w:val="nil"/>
              <w:left w:val="nil"/>
              <w:bottom w:val="single" w:sz="4" w:space="0" w:color="auto"/>
              <w:right w:val="single" w:sz="4" w:space="0" w:color="auto"/>
            </w:tcBorders>
            <w:shd w:val="clear" w:color="auto" w:fill="auto"/>
            <w:noWrap/>
            <w:vAlign w:val="bottom"/>
            <w:hideMark/>
          </w:tcPr>
          <w:p w14:paraId="217025D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206A09B1"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71D0C66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First date recorded dead</w:t>
            </w:r>
          </w:p>
        </w:tc>
        <w:tc>
          <w:tcPr>
            <w:tcW w:w="6598" w:type="dxa"/>
            <w:tcBorders>
              <w:top w:val="nil"/>
              <w:left w:val="nil"/>
              <w:bottom w:val="single" w:sz="4" w:space="0" w:color="auto"/>
              <w:right w:val="single" w:sz="4" w:space="0" w:color="auto"/>
            </w:tcBorders>
            <w:shd w:val="clear" w:color="auto" w:fill="auto"/>
            <w:noWrap/>
            <w:vAlign w:val="bottom"/>
            <w:hideMark/>
          </w:tcPr>
          <w:p w14:paraId="71574F80"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first date that a plant was recorded as being dead</w:t>
            </w:r>
          </w:p>
        </w:tc>
        <w:tc>
          <w:tcPr>
            <w:tcW w:w="1758" w:type="dxa"/>
            <w:tcBorders>
              <w:top w:val="nil"/>
              <w:left w:val="nil"/>
              <w:bottom w:val="single" w:sz="4" w:space="0" w:color="auto"/>
              <w:right w:val="single" w:sz="4" w:space="0" w:color="auto"/>
            </w:tcBorders>
            <w:shd w:val="clear" w:color="auto" w:fill="auto"/>
            <w:noWrap/>
            <w:vAlign w:val="bottom"/>
            <w:hideMark/>
          </w:tcPr>
          <w:p w14:paraId="3D91E0CE"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Date</w:t>
            </w:r>
          </w:p>
        </w:tc>
      </w:tr>
      <w:tr w:rsidR="00830A43" w:rsidRPr="00D72CA6" w14:paraId="3D57CD23"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1F02906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Exclusions</w:t>
            </w:r>
          </w:p>
        </w:tc>
        <w:tc>
          <w:tcPr>
            <w:tcW w:w="6598" w:type="dxa"/>
            <w:tcBorders>
              <w:top w:val="nil"/>
              <w:left w:val="nil"/>
              <w:bottom w:val="single" w:sz="4" w:space="0" w:color="auto"/>
              <w:right w:val="single" w:sz="4" w:space="0" w:color="auto"/>
            </w:tcBorders>
            <w:shd w:val="clear" w:color="auto" w:fill="auto"/>
            <w:noWrap/>
            <w:vAlign w:val="bottom"/>
            <w:hideMark/>
          </w:tcPr>
          <w:p w14:paraId="4069EB93" w14:textId="76277DDF"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Which measurements should be excluded from analyses for each tree, typically due to herbivore damage</w:t>
            </w:r>
          </w:p>
        </w:tc>
        <w:tc>
          <w:tcPr>
            <w:tcW w:w="1758" w:type="dxa"/>
            <w:tcBorders>
              <w:top w:val="nil"/>
              <w:left w:val="nil"/>
              <w:bottom w:val="single" w:sz="4" w:space="0" w:color="auto"/>
              <w:right w:val="single" w:sz="4" w:space="0" w:color="auto"/>
            </w:tcBorders>
            <w:shd w:val="clear" w:color="auto" w:fill="auto"/>
            <w:noWrap/>
            <w:vAlign w:val="bottom"/>
            <w:hideMark/>
          </w:tcPr>
          <w:p w14:paraId="3A7F366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542A9987" w14:textId="77777777" w:rsidTr="00830A43">
        <w:trPr>
          <w:trHeight w:val="300"/>
          <w:jc w:val="center"/>
        </w:trPr>
        <w:tc>
          <w:tcPr>
            <w:tcW w:w="1704" w:type="dxa"/>
            <w:tcBorders>
              <w:top w:val="nil"/>
              <w:left w:val="single" w:sz="4" w:space="0" w:color="auto"/>
              <w:bottom w:val="single" w:sz="4" w:space="0" w:color="auto"/>
              <w:right w:val="single" w:sz="4" w:space="0" w:color="auto"/>
            </w:tcBorders>
            <w:shd w:val="clear" w:color="auto" w:fill="auto"/>
            <w:noWrap/>
            <w:vAlign w:val="bottom"/>
            <w:hideMark/>
          </w:tcPr>
          <w:p w14:paraId="6C6593E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herbivore damage</w:t>
            </w:r>
          </w:p>
        </w:tc>
        <w:tc>
          <w:tcPr>
            <w:tcW w:w="6598" w:type="dxa"/>
            <w:tcBorders>
              <w:top w:val="nil"/>
              <w:left w:val="nil"/>
              <w:bottom w:val="single" w:sz="4" w:space="0" w:color="auto"/>
              <w:right w:val="single" w:sz="4" w:space="0" w:color="auto"/>
            </w:tcBorders>
            <w:shd w:val="clear" w:color="auto" w:fill="auto"/>
            <w:noWrap/>
            <w:vAlign w:val="bottom"/>
            <w:hideMark/>
          </w:tcPr>
          <w:p w14:paraId="0FE6E240"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herbivore damage (bark stripping, foliage damage) was recorded between 2020-2025</w:t>
            </w:r>
          </w:p>
        </w:tc>
        <w:tc>
          <w:tcPr>
            <w:tcW w:w="1758" w:type="dxa"/>
            <w:tcBorders>
              <w:top w:val="nil"/>
              <w:left w:val="nil"/>
              <w:bottom w:val="single" w:sz="4" w:space="0" w:color="auto"/>
              <w:right w:val="single" w:sz="4" w:space="0" w:color="auto"/>
            </w:tcBorders>
            <w:shd w:val="clear" w:color="auto" w:fill="auto"/>
            <w:noWrap/>
            <w:vAlign w:val="bottom"/>
            <w:hideMark/>
          </w:tcPr>
          <w:p w14:paraId="27827E0E"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bl>
    <w:p w14:paraId="5C846B19" w14:textId="77777777" w:rsidR="00482590" w:rsidRPr="00D72CA6" w:rsidRDefault="00482590">
      <w:pPr>
        <w:rPr>
          <w:rFonts w:ascii="Times New Roman" w:hAnsi="Times New Roman" w:cs="Times New Roman"/>
          <w:sz w:val="24"/>
          <w:szCs w:val="24"/>
        </w:rPr>
      </w:pPr>
    </w:p>
    <w:p w14:paraId="244017C0" w14:textId="2691A468" w:rsidR="00830A43" w:rsidRPr="00D72CA6" w:rsidRDefault="00830A43">
      <w:pPr>
        <w:rPr>
          <w:rFonts w:ascii="Times New Roman" w:hAnsi="Times New Roman" w:cs="Times New Roman"/>
          <w:sz w:val="24"/>
          <w:szCs w:val="24"/>
        </w:rPr>
      </w:pPr>
      <w:r w:rsidRPr="00D72CA6">
        <w:rPr>
          <w:rFonts w:ascii="Times New Roman" w:hAnsi="Times New Roman" w:cs="Times New Roman"/>
          <w:sz w:val="24"/>
          <w:szCs w:val="24"/>
        </w:rPr>
        <w:t>“2022_BB.csv”:</w:t>
      </w:r>
    </w:p>
    <w:tbl>
      <w:tblPr>
        <w:tblW w:w="10065" w:type="dxa"/>
        <w:jc w:val="center"/>
        <w:tblLook w:val="04A0" w:firstRow="1" w:lastRow="0" w:firstColumn="1" w:lastColumn="0" w:noHBand="0" w:noVBand="1"/>
      </w:tblPr>
      <w:tblGrid>
        <w:gridCol w:w="2009"/>
        <w:gridCol w:w="6350"/>
        <w:gridCol w:w="1706"/>
      </w:tblGrid>
      <w:tr w:rsidR="00830A43" w:rsidRPr="00D72CA6" w14:paraId="60B68A38" w14:textId="77777777" w:rsidTr="00830A43">
        <w:trPr>
          <w:trHeight w:val="300"/>
          <w:jc w:val="center"/>
        </w:trPr>
        <w:tc>
          <w:tcPr>
            <w:tcW w:w="200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6BBF3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lastRenderedPageBreak/>
              <w:t>Column header</w:t>
            </w:r>
          </w:p>
        </w:tc>
        <w:tc>
          <w:tcPr>
            <w:tcW w:w="6350" w:type="dxa"/>
            <w:tcBorders>
              <w:top w:val="single" w:sz="4" w:space="0" w:color="auto"/>
              <w:left w:val="nil"/>
              <w:bottom w:val="single" w:sz="4" w:space="0" w:color="auto"/>
              <w:right w:val="single" w:sz="4" w:space="0" w:color="auto"/>
            </w:tcBorders>
            <w:shd w:val="clear" w:color="auto" w:fill="auto"/>
            <w:noWrap/>
            <w:vAlign w:val="bottom"/>
            <w:hideMark/>
          </w:tcPr>
          <w:p w14:paraId="649365C3"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706" w:type="dxa"/>
            <w:tcBorders>
              <w:top w:val="single" w:sz="4" w:space="0" w:color="auto"/>
              <w:left w:val="nil"/>
              <w:bottom w:val="single" w:sz="4" w:space="0" w:color="auto"/>
              <w:right w:val="single" w:sz="4" w:space="0" w:color="auto"/>
            </w:tcBorders>
            <w:shd w:val="clear" w:color="auto" w:fill="auto"/>
            <w:noWrap/>
            <w:vAlign w:val="bottom"/>
            <w:hideMark/>
          </w:tcPr>
          <w:p w14:paraId="05B3E07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830A43" w:rsidRPr="00D72CA6" w14:paraId="70244129"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55E17C8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Order_all</w:t>
            </w:r>
          </w:p>
        </w:tc>
        <w:tc>
          <w:tcPr>
            <w:tcW w:w="6350" w:type="dxa"/>
            <w:tcBorders>
              <w:top w:val="nil"/>
              <w:left w:val="nil"/>
              <w:bottom w:val="single" w:sz="4" w:space="0" w:color="auto"/>
              <w:right w:val="single" w:sz="4" w:space="0" w:color="auto"/>
            </w:tcBorders>
            <w:shd w:val="clear" w:color="auto" w:fill="auto"/>
            <w:noWrap/>
            <w:vAlign w:val="bottom"/>
            <w:hideMark/>
          </w:tcPr>
          <w:p w14:paraId="46724BDC"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glasshouse, corresponding to the overall order of plants</w:t>
            </w:r>
          </w:p>
        </w:tc>
        <w:tc>
          <w:tcPr>
            <w:tcW w:w="1706" w:type="dxa"/>
            <w:tcBorders>
              <w:top w:val="nil"/>
              <w:left w:val="nil"/>
              <w:bottom w:val="single" w:sz="4" w:space="0" w:color="auto"/>
              <w:right w:val="single" w:sz="4" w:space="0" w:color="auto"/>
            </w:tcBorders>
            <w:shd w:val="clear" w:color="auto" w:fill="auto"/>
            <w:noWrap/>
            <w:vAlign w:val="bottom"/>
            <w:hideMark/>
          </w:tcPr>
          <w:p w14:paraId="29D51F7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54075116"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39E4BF8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Order_block</w:t>
            </w:r>
          </w:p>
        </w:tc>
        <w:tc>
          <w:tcPr>
            <w:tcW w:w="6350" w:type="dxa"/>
            <w:tcBorders>
              <w:top w:val="nil"/>
              <w:left w:val="nil"/>
              <w:bottom w:val="single" w:sz="4" w:space="0" w:color="auto"/>
              <w:right w:val="single" w:sz="4" w:space="0" w:color="auto"/>
            </w:tcBorders>
            <w:shd w:val="clear" w:color="auto" w:fill="auto"/>
            <w:noWrap/>
            <w:vAlign w:val="bottom"/>
            <w:hideMark/>
          </w:tcPr>
          <w:p w14:paraId="17954F3B"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numeric order of plants within each block</w:t>
            </w:r>
          </w:p>
        </w:tc>
        <w:tc>
          <w:tcPr>
            <w:tcW w:w="1706" w:type="dxa"/>
            <w:tcBorders>
              <w:top w:val="nil"/>
              <w:left w:val="nil"/>
              <w:bottom w:val="single" w:sz="4" w:space="0" w:color="auto"/>
              <w:right w:val="single" w:sz="4" w:space="0" w:color="auto"/>
            </w:tcBorders>
            <w:shd w:val="clear" w:color="auto" w:fill="auto"/>
            <w:noWrap/>
            <w:vAlign w:val="bottom"/>
            <w:hideMark/>
          </w:tcPr>
          <w:p w14:paraId="560D371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4219993A"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37BE89C4"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Pop</w:t>
            </w:r>
          </w:p>
        </w:tc>
        <w:tc>
          <w:tcPr>
            <w:tcW w:w="6350" w:type="dxa"/>
            <w:tcBorders>
              <w:top w:val="nil"/>
              <w:left w:val="nil"/>
              <w:bottom w:val="single" w:sz="4" w:space="0" w:color="auto"/>
              <w:right w:val="single" w:sz="4" w:space="0" w:color="auto"/>
            </w:tcBorders>
            <w:shd w:val="clear" w:color="auto" w:fill="auto"/>
            <w:noWrap/>
            <w:vAlign w:val="bottom"/>
            <w:hideMark/>
          </w:tcPr>
          <w:p w14:paraId="23B7F6B4"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population that each plant was sampled from as a two-letter abbreviation</w:t>
            </w:r>
          </w:p>
        </w:tc>
        <w:tc>
          <w:tcPr>
            <w:tcW w:w="1706" w:type="dxa"/>
            <w:tcBorders>
              <w:top w:val="nil"/>
              <w:left w:val="nil"/>
              <w:bottom w:val="single" w:sz="4" w:space="0" w:color="auto"/>
              <w:right w:val="single" w:sz="4" w:space="0" w:color="auto"/>
            </w:tcBorders>
            <w:shd w:val="clear" w:color="auto" w:fill="auto"/>
            <w:noWrap/>
            <w:vAlign w:val="bottom"/>
            <w:hideMark/>
          </w:tcPr>
          <w:p w14:paraId="63800A5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48FC180E"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6B1815F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Fam</w:t>
            </w:r>
          </w:p>
        </w:tc>
        <w:tc>
          <w:tcPr>
            <w:tcW w:w="6350" w:type="dxa"/>
            <w:tcBorders>
              <w:top w:val="nil"/>
              <w:left w:val="nil"/>
              <w:bottom w:val="single" w:sz="4" w:space="0" w:color="auto"/>
              <w:right w:val="single" w:sz="4" w:space="0" w:color="auto"/>
            </w:tcBorders>
            <w:shd w:val="clear" w:color="auto" w:fill="auto"/>
            <w:noWrap/>
            <w:vAlign w:val="bottom"/>
            <w:hideMark/>
          </w:tcPr>
          <w:p w14:paraId="160EB085"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family that each plant belong to</w:t>
            </w:r>
          </w:p>
        </w:tc>
        <w:tc>
          <w:tcPr>
            <w:tcW w:w="1706" w:type="dxa"/>
            <w:tcBorders>
              <w:top w:val="nil"/>
              <w:left w:val="nil"/>
              <w:bottom w:val="single" w:sz="4" w:space="0" w:color="auto"/>
              <w:right w:val="single" w:sz="4" w:space="0" w:color="auto"/>
            </w:tcBorders>
            <w:shd w:val="clear" w:color="auto" w:fill="auto"/>
            <w:noWrap/>
            <w:vAlign w:val="bottom"/>
            <w:hideMark/>
          </w:tcPr>
          <w:p w14:paraId="4C969C6E"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23851EBB"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0A33A0B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Block</w:t>
            </w:r>
          </w:p>
        </w:tc>
        <w:tc>
          <w:tcPr>
            <w:tcW w:w="6350" w:type="dxa"/>
            <w:tcBorders>
              <w:top w:val="nil"/>
              <w:left w:val="nil"/>
              <w:bottom w:val="single" w:sz="4" w:space="0" w:color="auto"/>
              <w:right w:val="single" w:sz="4" w:space="0" w:color="auto"/>
            </w:tcBorders>
            <w:shd w:val="clear" w:color="auto" w:fill="auto"/>
            <w:noWrap/>
            <w:vAlign w:val="bottom"/>
            <w:hideMark/>
          </w:tcPr>
          <w:p w14:paraId="79AA295B"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block that each plant was assigned to</w:t>
            </w:r>
          </w:p>
        </w:tc>
        <w:tc>
          <w:tcPr>
            <w:tcW w:w="1706" w:type="dxa"/>
            <w:tcBorders>
              <w:top w:val="nil"/>
              <w:left w:val="nil"/>
              <w:bottom w:val="single" w:sz="4" w:space="0" w:color="auto"/>
              <w:right w:val="single" w:sz="4" w:space="0" w:color="auto"/>
            </w:tcBorders>
            <w:shd w:val="clear" w:color="auto" w:fill="auto"/>
            <w:noWrap/>
            <w:vAlign w:val="bottom"/>
            <w:hideMark/>
          </w:tcPr>
          <w:p w14:paraId="100178D4"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33B94FAD"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44F8AAE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Age class</w:t>
            </w:r>
          </w:p>
        </w:tc>
        <w:tc>
          <w:tcPr>
            <w:tcW w:w="6350" w:type="dxa"/>
            <w:tcBorders>
              <w:top w:val="nil"/>
              <w:left w:val="nil"/>
              <w:bottom w:val="single" w:sz="4" w:space="0" w:color="auto"/>
              <w:right w:val="single" w:sz="4" w:space="0" w:color="auto"/>
            </w:tcBorders>
            <w:shd w:val="clear" w:color="auto" w:fill="auto"/>
            <w:noWrap/>
            <w:vAlign w:val="bottom"/>
            <w:hideMark/>
          </w:tcPr>
          <w:p w14:paraId="12C01D08"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age class of each plant, referring to when they were potted up from seedling trays into individual pots</w:t>
            </w:r>
          </w:p>
        </w:tc>
        <w:tc>
          <w:tcPr>
            <w:tcW w:w="1706" w:type="dxa"/>
            <w:tcBorders>
              <w:top w:val="nil"/>
              <w:left w:val="nil"/>
              <w:bottom w:val="single" w:sz="4" w:space="0" w:color="auto"/>
              <w:right w:val="single" w:sz="4" w:space="0" w:color="auto"/>
            </w:tcBorders>
            <w:shd w:val="clear" w:color="auto" w:fill="auto"/>
            <w:noWrap/>
            <w:vAlign w:val="bottom"/>
            <w:hideMark/>
          </w:tcPr>
          <w:p w14:paraId="6F26849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20B15175"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673269F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05/04/22 Pollen</w:t>
            </w:r>
          </w:p>
        </w:tc>
        <w:tc>
          <w:tcPr>
            <w:tcW w:w="6350" w:type="dxa"/>
            <w:tcBorders>
              <w:top w:val="nil"/>
              <w:left w:val="nil"/>
              <w:bottom w:val="single" w:sz="4" w:space="0" w:color="auto"/>
              <w:right w:val="single" w:sz="4" w:space="0" w:color="auto"/>
            </w:tcBorders>
            <w:shd w:val="clear" w:color="auto" w:fill="auto"/>
            <w:noWrap/>
            <w:vAlign w:val="bottom"/>
            <w:hideMark/>
          </w:tcPr>
          <w:p w14:paraId="141781C5" w14:textId="6F8E4A0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or not plants were observed with pollen on the assessment date 5/4/22</w:t>
            </w:r>
          </w:p>
        </w:tc>
        <w:tc>
          <w:tcPr>
            <w:tcW w:w="1706" w:type="dxa"/>
            <w:tcBorders>
              <w:top w:val="nil"/>
              <w:left w:val="nil"/>
              <w:bottom w:val="single" w:sz="4" w:space="0" w:color="auto"/>
              <w:right w:val="single" w:sz="4" w:space="0" w:color="auto"/>
            </w:tcBorders>
            <w:shd w:val="clear" w:color="auto" w:fill="auto"/>
            <w:noWrap/>
            <w:vAlign w:val="bottom"/>
            <w:hideMark/>
          </w:tcPr>
          <w:p w14:paraId="64DA2B0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Numeric-binary</w:t>
            </w:r>
          </w:p>
        </w:tc>
      </w:tr>
      <w:tr w:rsidR="00830A43" w:rsidRPr="00D72CA6" w14:paraId="59C59F11"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4D8ECBE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05/04/22 Berries</w:t>
            </w:r>
          </w:p>
        </w:tc>
        <w:tc>
          <w:tcPr>
            <w:tcW w:w="6350" w:type="dxa"/>
            <w:tcBorders>
              <w:top w:val="nil"/>
              <w:left w:val="nil"/>
              <w:bottom w:val="single" w:sz="4" w:space="0" w:color="auto"/>
              <w:right w:val="single" w:sz="4" w:space="0" w:color="auto"/>
            </w:tcBorders>
            <w:shd w:val="clear" w:color="auto" w:fill="auto"/>
            <w:noWrap/>
            <w:vAlign w:val="bottom"/>
            <w:hideMark/>
          </w:tcPr>
          <w:p w14:paraId="7A30FA96" w14:textId="40BADA11"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or not plants were observed with berries on the assessment date 5/4/22</w:t>
            </w:r>
          </w:p>
        </w:tc>
        <w:tc>
          <w:tcPr>
            <w:tcW w:w="1706" w:type="dxa"/>
            <w:tcBorders>
              <w:top w:val="nil"/>
              <w:left w:val="nil"/>
              <w:bottom w:val="single" w:sz="4" w:space="0" w:color="auto"/>
              <w:right w:val="single" w:sz="4" w:space="0" w:color="auto"/>
            </w:tcBorders>
            <w:shd w:val="clear" w:color="auto" w:fill="auto"/>
            <w:noWrap/>
            <w:vAlign w:val="bottom"/>
            <w:hideMark/>
          </w:tcPr>
          <w:p w14:paraId="440A49F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Numeric-binary</w:t>
            </w:r>
          </w:p>
        </w:tc>
      </w:tr>
      <w:tr w:rsidR="00830A43" w:rsidRPr="00D72CA6" w14:paraId="16731C89"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0D742A7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05/04/22 BB</w:t>
            </w:r>
          </w:p>
        </w:tc>
        <w:tc>
          <w:tcPr>
            <w:tcW w:w="6350" w:type="dxa"/>
            <w:tcBorders>
              <w:top w:val="nil"/>
              <w:left w:val="nil"/>
              <w:bottom w:val="single" w:sz="4" w:space="0" w:color="auto"/>
              <w:right w:val="single" w:sz="4" w:space="0" w:color="auto"/>
            </w:tcBorders>
            <w:shd w:val="clear" w:color="auto" w:fill="auto"/>
            <w:noWrap/>
            <w:vAlign w:val="bottom"/>
            <w:hideMark/>
          </w:tcPr>
          <w:p w14:paraId="3C8CEDAB" w14:textId="5B4C8AD3"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the assessment date 5/4/22</w:t>
            </w:r>
          </w:p>
        </w:tc>
        <w:tc>
          <w:tcPr>
            <w:tcW w:w="1706" w:type="dxa"/>
            <w:tcBorders>
              <w:top w:val="nil"/>
              <w:left w:val="nil"/>
              <w:bottom w:val="single" w:sz="4" w:space="0" w:color="auto"/>
              <w:right w:val="single" w:sz="4" w:space="0" w:color="auto"/>
            </w:tcBorders>
            <w:shd w:val="clear" w:color="auto" w:fill="auto"/>
            <w:noWrap/>
            <w:vAlign w:val="bottom"/>
            <w:hideMark/>
          </w:tcPr>
          <w:p w14:paraId="058690F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05499C47"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591A62F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Sex1</w:t>
            </w:r>
          </w:p>
        </w:tc>
        <w:tc>
          <w:tcPr>
            <w:tcW w:w="6350" w:type="dxa"/>
            <w:tcBorders>
              <w:top w:val="nil"/>
              <w:left w:val="nil"/>
              <w:bottom w:val="single" w:sz="4" w:space="0" w:color="auto"/>
              <w:right w:val="single" w:sz="4" w:space="0" w:color="auto"/>
            </w:tcBorders>
            <w:shd w:val="clear" w:color="auto" w:fill="auto"/>
            <w:noWrap/>
            <w:vAlign w:val="bottom"/>
            <w:hideMark/>
          </w:tcPr>
          <w:p w14:paraId="6453D4EE"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sex of each plant that displayed either pollen or berries on the assessment date 5/4/22</w:t>
            </w:r>
          </w:p>
        </w:tc>
        <w:tc>
          <w:tcPr>
            <w:tcW w:w="1706" w:type="dxa"/>
            <w:tcBorders>
              <w:top w:val="nil"/>
              <w:left w:val="nil"/>
              <w:bottom w:val="single" w:sz="4" w:space="0" w:color="auto"/>
              <w:right w:val="single" w:sz="4" w:space="0" w:color="auto"/>
            </w:tcBorders>
            <w:shd w:val="clear" w:color="auto" w:fill="auto"/>
            <w:noWrap/>
            <w:vAlign w:val="bottom"/>
            <w:hideMark/>
          </w:tcPr>
          <w:p w14:paraId="7F1C8C9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830A43" w:rsidRPr="00D72CA6" w14:paraId="524BA5E6"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73FCFE2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21/04/22 Pollen</w:t>
            </w:r>
          </w:p>
        </w:tc>
        <w:tc>
          <w:tcPr>
            <w:tcW w:w="6350" w:type="dxa"/>
            <w:tcBorders>
              <w:top w:val="nil"/>
              <w:left w:val="nil"/>
              <w:bottom w:val="single" w:sz="4" w:space="0" w:color="auto"/>
              <w:right w:val="single" w:sz="4" w:space="0" w:color="auto"/>
            </w:tcBorders>
            <w:shd w:val="clear" w:color="auto" w:fill="auto"/>
            <w:noWrap/>
            <w:vAlign w:val="bottom"/>
            <w:hideMark/>
          </w:tcPr>
          <w:p w14:paraId="4BAFC888" w14:textId="2276B9E3"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or not plants were observed with pollen on the assessment date 21/4/22</w:t>
            </w:r>
          </w:p>
        </w:tc>
        <w:tc>
          <w:tcPr>
            <w:tcW w:w="1706" w:type="dxa"/>
            <w:tcBorders>
              <w:top w:val="nil"/>
              <w:left w:val="nil"/>
              <w:bottom w:val="single" w:sz="4" w:space="0" w:color="auto"/>
              <w:right w:val="single" w:sz="4" w:space="0" w:color="auto"/>
            </w:tcBorders>
            <w:shd w:val="clear" w:color="auto" w:fill="auto"/>
            <w:noWrap/>
            <w:vAlign w:val="bottom"/>
            <w:hideMark/>
          </w:tcPr>
          <w:p w14:paraId="31ACEEA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Numeric-binary</w:t>
            </w:r>
          </w:p>
        </w:tc>
      </w:tr>
      <w:tr w:rsidR="00830A43" w:rsidRPr="00D72CA6" w14:paraId="41D6541C"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3B285BB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21/04/22 Berries</w:t>
            </w:r>
          </w:p>
        </w:tc>
        <w:tc>
          <w:tcPr>
            <w:tcW w:w="6350" w:type="dxa"/>
            <w:tcBorders>
              <w:top w:val="nil"/>
              <w:left w:val="nil"/>
              <w:bottom w:val="single" w:sz="4" w:space="0" w:color="auto"/>
              <w:right w:val="single" w:sz="4" w:space="0" w:color="auto"/>
            </w:tcBorders>
            <w:shd w:val="clear" w:color="auto" w:fill="auto"/>
            <w:noWrap/>
            <w:vAlign w:val="bottom"/>
            <w:hideMark/>
          </w:tcPr>
          <w:p w14:paraId="165382A7" w14:textId="3FC60F42"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Whether or not plants were observed with berries on the assessment date 21/4/22</w:t>
            </w:r>
          </w:p>
        </w:tc>
        <w:tc>
          <w:tcPr>
            <w:tcW w:w="1706" w:type="dxa"/>
            <w:tcBorders>
              <w:top w:val="nil"/>
              <w:left w:val="nil"/>
              <w:bottom w:val="single" w:sz="4" w:space="0" w:color="auto"/>
              <w:right w:val="single" w:sz="4" w:space="0" w:color="auto"/>
            </w:tcBorders>
            <w:shd w:val="clear" w:color="auto" w:fill="auto"/>
            <w:noWrap/>
            <w:vAlign w:val="bottom"/>
            <w:hideMark/>
          </w:tcPr>
          <w:p w14:paraId="1CC80E3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Numeric-binary</w:t>
            </w:r>
          </w:p>
        </w:tc>
      </w:tr>
      <w:tr w:rsidR="00830A43" w:rsidRPr="00D72CA6" w14:paraId="1AED1AB4"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566580E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21/04/22 BB</w:t>
            </w:r>
          </w:p>
        </w:tc>
        <w:tc>
          <w:tcPr>
            <w:tcW w:w="6350" w:type="dxa"/>
            <w:tcBorders>
              <w:top w:val="nil"/>
              <w:left w:val="nil"/>
              <w:bottom w:val="single" w:sz="4" w:space="0" w:color="auto"/>
              <w:right w:val="single" w:sz="4" w:space="0" w:color="auto"/>
            </w:tcBorders>
            <w:shd w:val="clear" w:color="auto" w:fill="auto"/>
            <w:noWrap/>
            <w:vAlign w:val="bottom"/>
            <w:hideMark/>
          </w:tcPr>
          <w:p w14:paraId="0F0DEEE4" w14:textId="2C442FFE"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the assessment date 21/4/22</w:t>
            </w:r>
          </w:p>
        </w:tc>
        <w:tc>
          <w:tcPr>
            <w:tcW w:w="1706" w:type="dxa"/>
            <w:tcBorders>
              <w:top w:val="nil"/>
              <w:left w:val="nil"/>
              <w:bottom w:val="single" w:sz="4" w:space="0" w:color="auto"/>
              <w:right w:val="single" w:sz="4" w:space="0" w:color="auto"/>
            </w:tcBorders>
            <w:shd w:val="clear" w:color="auto" w:fill="auto"/>
            <w:noWrap/>
            <w:vAlign w:val="bottom"/>
            <w:hideMark/>
          </w:tcPr>
          <w:p w14:paraId="2492485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09D77843" w14:textId="77777777" w:rsidTr="00830A43">
        <w:trPr>
          <w:trHeight w:val="300"/>
          <w:jc w:val="center"/>
        </w:trPr>
        <w:tc>
          <w:tcPr>
            <w:tcW w:w="2009" w:type="dxa"/>
            <w:tcBorders>
              <w:top w:val="nil"/>
              <w:left w:val="single" w:sz="4" w:space="0" w:color="auto"/>
              <w:bottom w:val="single" w:sz="4" w:space="0" w:color="auto"/>
              <w:right w:val="single" w:sz="4" w:space="0" w:color="auto"/>
            </w:tcBorders>
            <w:shd w:val="clear" w:color="auto" w:fill="auto"/>
            <w:noWrap/>
            <w:vAlign w:val="bottom"/>
            <w:hideMark/>
          </w:tcPr>
          <w:p w14:paraId="1526259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Sex2</w:t>
            </w:r>
          </w:p>
        </w:tc>
        <w:tc>
          <w:tcPr>
            <w:tcW w:w="6350" w:type="dxa"/>
            <w:tcBorders>
              <w:top w:val="nil"/>
              <w:left w:val="nil"/>
              <w:bottom w:val="single" w:sz="4" w:space="0" w:color="auto"/>
              <w:right w:val="single" w:sz="4" w:space="0" w:color="auto"/>
            </w:tcBorders>
            <w:shd w:val="clear" w:color="auto" w:fill="auto"/>
            <w:noWrap/>
            <w:vAlign w:val="bottom"/>
            <w:hideMark/>
          </w:tcPr>
          <w:p w14:paraId="737DB0AE" w14:textId="4EF1F505"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sex of each plant that displayed either pollen or berries on the assessment date 21/4/22</w:t>
            </w:r>
          </w:p>
        </w:tc>
        <w:tc>
          <w:tcPr>
            <w:tcW w:w="1706" w:type="dxa"/>
            <w:tcBorders>
              <w:top w:val="nil"/>
              <w:left w:val="nil"/>
              <w:bottom w:val="single" w:sz="4" w:space="0" w:color="auto"/>
              <w:right w:val="single" w:sz="4" w:space="0" w:color="auto"/>
            </w:tcBorders>
            <w:shd w:val="clear" w:color="auto" w:fill="auto"/>
            <w:noWrap/>
            <w:vAlign w:val="bottom"/>
            <w:hideMark/>
          </w:tcPr>
          <w:p w14:paraId="37EFE95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bl>
    <w:p w14:paraId="67A5A8EC" w14:textId="77777777" w:rsidR="00C251AA" w:rsidRDefault="00C251AA" w:rsidP="00830A43">
      <w:pPr>
        <w:spacing w:after="0" w:line="240" w:lineRule="auto"/>
        <w:rPr>
          <w:rFonts w:ascii="Times New Roman" w:eastAsia="Times New Roman" w:hAnsi="Times New Roman" w:cs="Times New Roman"/>
          <w:color w:val="000000"/>
          <w:kern w:val="0"/>
          <w:sz w:val="24"/>
          <w:szCs w:val="24"/>
          <w:lang w:eastAsia="en-GB"/>
          <w14:ligatures w14:val="none"/>
        </w:rPr>
      </w:pPr>
    </w:p>
    <w:p w14:paraId="03952BFB" w14:textId="77777777" w:rsidR="00C251AA" w:rsidRDefault="00C251AA" w:rsidP="00830A43">
      <w:pPr>
        <w:spacing w:after="0" w:line="240" w:lineRule="auto"/>
        <w:rPr>
          <w:rFonts w:ascii="Times New Roman" w:eastAsia="Times New Roman" w:hAnsi="Times New Roman" w:cs="Times New Roman"/>
          <w:color w:val="000000"/>
          <w:kern w:val="0"/>
          <w:sz w:val="24"/>
          <w:szCs w:val="24"/>
          <w:lang w:eastAsia="en-GB"/>
          <w14:ligatures w14:val="none"/>
        </w:rPr>
      </w:pPr>
    </w:p>
    <w:p w14:paraId="228F6BDE" w14:textId="77777777" w:rsidR="00C251AA" w:rsidRDefault="00C251AA" w:rsidP="00830A43">
      <w:pPr>
        <w:spacing w:after="0" w:line="240" w:lineRule="auto"/>
        <w:rPr>
          <w:rFonts w:ascii="Times New Roman" w:eastAsia="Times New Roman" w:hAnsi="Times New Roman" w:cs="Times New Roman"/>
          <w:color w:val="000000"/>
          <w:kern w:val="0"/>
          <w:sz w:val="24"/>
          <w:szCs w:val="24"/>
          <w:lang w:eastAsia="en-GB"/>
          <w14:ligatures w14:val="none"/>
        </w:rPr>
      </w:pPr>
    </w:p>
    <w:p w14:paraId="15F45139" w14:textId="77777777" w:rsidR="00C251AA" w:rsidRDefault="00C251AA" w:rsidP="00830A43">
      <w:pPr>
        <w:spacing w:after="0" w:line="240" w:lineRule="auto"/>
        <w:rPr>
          <w:rFonts w:ascii="Times New Roman" w:eastAsia="Times New Roman" w:hAnsi="Times New Roman" w:cs="Times New Roman"/>
          <w:color w:val="000000"/>
          <w:kern w:val="0"/>
          <w:sz w:val="24"/>
          <w:szCs w:val="24"/>
          <w:lang w:eastAsia="en-GB"/>
          <w14:ligatures w14:val="none"/>
        </w:rPr>
      </w:pPr>
    </w:p>
    <w:p w14:paraId="31242D1F" w14:textId="77777777" w:rsidR="00C251AA" w:rsidRDefault="00C251AA" w:rsidP="00830A43">
      <w:pPr>
        <w:spacing w:after="0" w:line="240" w:lineRule="auto"/>
        <w:rPr>
          <w:rFonts w:ascii="Times New Roman" w:eastAsia="Times New Roman" w:hAnsi="Times New Roman" w:cs="Times New Roman"/>
          <w:color w:val="000000"/>
          <w:kern w:val="0"/>
          <w:sz w:val="24"/>
          <w:szCs w:val="24"/>
          <w:lang w:eastAsia="en-GB"/>
          <w14:ligatures w14:val="none"/>
        </w:rPr>
      </w:pPr>
    </w:p>
    <w:p w14:paraId="6CC6E240" w14:textId="2337DCF3"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“2023_ BB</w:t>
      </w:r>
      <w:r w:rsidRPr="00D72CA6">
        <w:rPr>
          <w:rFonts w:ascii="Times New Roman" w:hAnsi="Times New Roman" w:cs="Times New Roman"/>
          <w:sz w:val="24"/>
          <w:szCs w:val="24"/>
        </w:rPr>
        <w:t>.csv</w:t>
      </w:r>
      <w:r w:rsidRPr="00D72CA6">
        <w:rPr>
          <w:rFonts w:ascii="Times New Roman" w:eastAsia="Times New Roman" w:hAnsi="Times New Roman" w:cs="Times New Roman"/>
          <w:color w:val="000000"/>
          <w:kern w:val="0"/>
          <w:sz w:val="24"/>
          <w:szCs w:val="24"/>
          <w:lang w:eastAsia="en-GB"/>
          <w14:ligatures w14:val="none"/>
        </w:rPr>
        <w:t>”:</w:t>
      </w:r>
    </w:p>
    <w:tbl>
      <w:tblPr>
        <w:tblW w:w="9923" w:type="dxa"/>
        <w:jc w:val="center"/>
        <w:tblLook w:val="04A0" w:firstRow="1" w:lastRow="0" w:firstColumn="1" w:lastColumn="0" w:noHBand="0" w:noVBand="1"/>
      </w:tblPr>
      <w:tblGrid>
        <w:gridCol w:w="1934"/>
        <w:gridCol w:w="6283"/>
        <w:gridCol w:w="1706"/>
      </w:tblGrid>
      <w:tr w:rsidR="00830A43" w:rsidRPr="00D72CA6" w14:paraId="190CDAE8" w14:textId="77777777" w:rsidTr="00830A43">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F4B9EB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283" w:type="dxa"/>
            <w:tcBorders>
              <w:top w:val="single" w:sz="4" w:space="0" w:color="auto"/>
              <w:left w:val="nil"/>
              <w:bottom w:val="single" w:sz="4" w:space="0" w:color="auto"/>
              <w:right w:val="single" w:sz="4" w:space="0" w:color="auto"/>
            </w:tcBorders>
            <w:shd w:val="clear" w:color="auto" w:fill="auto"/>
            <w:noWrap/>
            <w:vAlign w:val="bottom"/>
            <w:hideMark/>
          </w:tcPr>
          <w:p w14:paraId="33157222"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706" w:type="dxa"/>
            <w:tcBorders>
              <w:top w:val="single" w:sz="4" w:space="0" w:color="auto"/>
              <w:left w:val="nil"/>
              <w:bottom w:val="single" w:sz="4" w:space="0" w:color="auto"/>
              <w:right w:val="single" w:sz="4" w:space="0" w:color="auto"/>
            </w:tcBorders>
            <w:shd w:val="clear" w:color="auto" w:fill="auto"/>
            <w:noWrap/>
            <w:vAlign w:val="bottom"/>
            <w:hideMark/>
          </w:tcPr>
          <w:p w14:paraId="58C8590B"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830A43" w:rsidRPr="00D72CA6" w14:paraId="6C14504C" w14:textId="77777777" w:rsidTr="00830A43">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1D36BCF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283" w:type="dxa"/>
            <w:tcBorders>
              <w:top w:val="nil"/>
              <w:left w:val="nil"/>
              <w:bottom w:val="single" w:sz="4" w:space="0" w:color="auto"/>
              <w:right w:val="single" w:sz="4" w:space="0" w:color="auto"/>
            </w:tcBorders>
            <w:shd w:val="clear" w:color="auto" w:fill="auto"/>
            <w:noWrap/>
            <w:vAlign w:val="bottom"/>
            <w:hideMark/>
          </w:tcPr>
          <w:p w14:paraId="57FB280A"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1706" w:type="dxa"/>
            <w:tcBorders>
              <w:top w:val="nil"/>
              <w:left w:val="nil"/>
              <w:bottom w:val="single" w:sz="4" w:space="0" w:color="auto"/>
              <w:right w:val="single" w:sz="4" w:space="0" w:color="auto"/>
            </w:tcBorders>
            <w:shd w:val="clear" w:color="auto" w:fill="auto"/>
            <w:noWrap/>
            <w:vAlign w:val="bottom"/>
            <w:hideMark/>
          </w:tcPr>
          <w:p w14:paraId="593BF434"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0EC24E87" w14:textId="77777777" w:rsidTr="00830A43">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6259528B"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12/05/23 BB</w:t>
            </w:r>
          </w:p>
        </w:tc>
        <w:tc>
          <w:tcPr>
            <w:tcW w:w="6283" w:type="dxa"/>
            <w:tcBorders>
              <w:top w:val="nil"/>
              <w:left w:val="nil"/>
              <w:bottom w:val="single" w:sz="4" w:space="0" w:color="auto"/>
              <w:right w:val="single" w:sz="4" w:space="0" w:color="auto"/>
            </w:tcBorders>
            <w:shd w:val="clear" w:color="auto" w:fill="auto"/>
            <w:noWrap/>
            <w:vAlign w:val="bottom"/>
            <w:hideMark/>
          </w:tcPr>
          <w:p w14:paraId="17C07DBC"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the date specified in "BB pheno day"</w:t>
            </w:r>
          </w:p>
        </w:tc>
        <w:tc>
          <w:tcPr>
            <w:tcW w:w="1706" w:type="dxa"/>
            <w:tcBorders>
              <w:top w:val="nil"/>
              <w:left w:val="nil"/>
              <w:bottom w:val="single" w:sz="4" w:space="0" w:color="auto"/>
              <w:right w:val="single" w:sz="4" w:space="0" w:color="auto"/>
            </w:tcBorders>
            <w:shd w:val="clear" w:color="auto" w:fill="auto"/>
            <w:noWrap/>
            <w:vAlign w:val="bottom"/>
            <w:hideMark/>
          </w:tcPr>
          <w:p w14:paraId="4EA4439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09E8B3C5" w14:textId="77777777" w:rsidTr="00830A43">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F4B53E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BB pheno day</w:t>
            </w:r>
          </w:p>
        </w:tc>
        <w:tc>
          <w:tcPr>
            <w:tcW w:w="6283" w:type="dxa"/>
            <w:tcBorders>
              <w:top w:val="nil"/>
              <w:left w:val="nil"/>
              <w:bottom w:val="single" w:sz="4" w:space="0" w:color="auto"/>
              <w:right w:val="single" w:sz="4" w:space="0" w:color="auto"/>
            </w:tcBorders>
            <w:shd w:val="clear" w:color="auto" w:fill="auto"/>
            <w:noWrap/>
            <w:vAlign w:val="bottom"/>
            <w:hideMark/>
          </w:tcPr>
          <w:p w14:paraId="17DDB97B"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date that each BB assessment was made</w:t>
            </w:r>
          </w:p>
        </w:tc>
        <w:tc>
          <w:tcPr>
            <w:tcW w:w="1706" w:type="dxa"/>
            <w:tcBorders>
              <w:top w:val="nil"/>
              <w:left w:val="nil"/>
              <w:bottom w:val="single" w:sz="4" w:space="0" w:color="auto"/>
              <w:right w:val="single" w:sz="4" w:space="0" w:color="auto"/>
            </w:tcBorders>
            <w:shd w:val="clear" w:color="auto" w:fill="auto"/>
            <w:noWrap/>
            <w:vAlign w:val="bottom"/>
            <w:hideMark/>
          </w:tcPr>
          <w:p w14:paraId="302155E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Date</w:t>
            </w:r>
          </w:p>
        </w:tc>
      </w:tr>
      <w:tr w:rsidR="00830A43" w:rsidRPr="00D72CA6" w14:paraId="404F508D" w14:textId="77777777" w:rsidTr="00830A43">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3F4538E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Pheno day</w:t>
            </w:r>
          </w:p>
        </w:tc>
        <w:tc>
          <w:tcPr>
            <w:tcW w:w="6283" w:type="dxa"/>
            <w:tcBorders>
              <w:top w:val="nil"/>
              <w:left w:val="nil"/>
              <w:bottom w:val="single" w:sz="4" w:space="0" w:color="auto"/>
              <w:right w:val="single" w:sz="4" w:space="0" w:color="auto"/>
            </w:tcBorders>
            <w:shd w:val="clear" w:color="auto" w:fill="auto"/>
            <w:noWrap/>
            <w:vAlign w:val="bottom"/>
            <w:hideMark/>
          </w:tcPr>
          <w:p w14:paraId="5DA5A3F4"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date that each BB assessment was made as an integer</w:t>
            </w:r>
          </w:p>
        </w:tc>
        <w:tc>
          <w:tcPr>
            <w:tcW w:w="1706" w:type="dxa"/>
            <w:tcBorders>
              <w:top w:val="nil"/>
              <w:left w:val="nil"/>
              <w:bottom w:val="single" w:sz="4" w:space="0" w:color="auto"/>
              <w:right w:val="single" w:sz="4" w:space="0" w:color="auto"/>
            </w:tcBorders>
            <w:shd w:val="clear" w:color="auto" w:fill="auto"/>
            <w:noWrap/>
            <w:vAlign w:val="bottom"/>
            <w:hideMark/>
          </w:tcPr>
          <w:p w14:paraId="368FA8E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bl>
    <w:p w14:paraId="23AB2694" w14:textId="77777777" w:rsidR="00830A43" w:rsidRPr="00D72CA6" w:rsidRDefault="00830A43">
      <w:pPr>
        <w:rPr>
          <w:rFonts w:ascii="Times New Roman" w:hAnsi="Times New Roman" w:cs="Times New Roman"/>
          <w:sz w:val="24"/>
          <w:szCs w:val="24"/>
        </w:rPr>
      </w:pPr>
    </w:p>
    <w:p w14:paraId="6D6A1D0E" w14:textId="58FE4AC8"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“2024_BB</w:t>
      </w:r>
      <w:r w:rsidRPr="00D72CA6">
        <w:rPr>
          <w:rFonts w:ascii="Times New Roman" w:hAnsi="Times New Roman" w:cs="Times New Roman"/>
          <w:sz w:val="24"/>
          <w:szCs w:val="24"/>
        </w:rPr>
        <w:t>.csv</w:t>
      </w:r>
      <w:r w:rsidRPr="00D72CA6">
        <w:rPr>
          <w:rFonts w:ascii="Times New Roman" w:eastAsia="Times New Roman" w:hAnsi="Times New Roman" w:cs="Times New Roman"/>
          <w:color w:val="000000"/>
          <w:kern w:val="0"/>
          <w:sz w:val="24"/>
          <w:szCs w:val="24"/>
          <w:lang w:eastAsia="en-GB"/>
          <w14:ligatures w14:val="none"/>
        </w:rPr>
        <w:t>”:</w:t>
      </w:r>
    </w:p>
    <w:tbl>
      <w:tblPr>
        <w:tblW w:w="9923" w:type="dxa"/>
        <w:jc w:val="center"/>
        <w:tblLook w:val="04A0" w:firstRow="1" w:lastRow="0" w:firstColumn="1" w:lastColumn="0" w:noHBand="0" w:noVBand="1"/>
      </w:tblPr>
      <w:tblGrid>
        <w:gridCol w:w="1838"/>
        <w:gridCol w:w="6304"/>
        <w:gridCol w:w="1781"/>
      </w:tblGrid>
      <w:tr w:rsidR="00830A43" w:rsidRPr="00D72CA6" w14:paraId="31532F9B" w14:textId="77777777" w:rsidTr="00830A43">
        <w:trPr>
          <w:trHeight w:val="300"/>
          <w:jc w:val="center"/>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9DCB8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304" w:type="dxa"/>
            <w:tcBorders>
              <w:top w:val="single" w:sz="4" w:space="0" w:color="auto"/>
              <w:left w:val="nil"/>
              <w:bottom w:val="single" w:sz="4" w:space="0" w:color="auto"/>
              <w:right w:val="single" w:sz="4" w:space="0" w:color="auto"/>
            </w:tcBorders>
            <w:shd w:val="clear" w:color="auto" w:fill="auto"/>
            <w:noWrap/>
            <w:vAlign w:val="bottom"/>
            <w:hideMark/>
          </w:tcPr>
          <w:p w14:paraId="4395BF21"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781" w:type="dxa"/>
            <w:tcBorders>
              <w:top w:val="single" w:sz="4" w:space="0" w:color="auto"/>
              <w:left w:val="nil"/>
              <w:bottom w:val="single" w:sz="4" w:space="0" w:color="auto"/>
              <w:right w:val="single" w:sz="4" w:space="0" w:color="auto"/>
            </w:tcBorders>
            <w:shd w:val="clear" w:color="auto" w:fill="auto"/>
            <w:noWrap/>
            <w:vAlign w:val="bottom"/>
            <w:hideMark/>
          </w:tcPr>
          <w:p w14:paraId="62D21A9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830A43" w:rsidRPr="00D72CA6" w14:paraId="00926E89"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5F5626D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304" w:type="dxa"/>
            <w:tcBorders>
              <w:top w:val="nil"/>
              <w:left w:val="nil"/>
              <w:bottom w:val="single" w:sz="4" w:space="0" w:color="auto"/>
              <w:right w:val="single" w:sz="4" w:space="0" w:color="auto"/>
            </w:tcBorders>
            <w:shd w:val="clear" w:color="auto" w:fill="auto"/>
            <w:noWrap/>
            <w:vAlign w:val="bottom"/>
            <w:hideMark/>
          </w:tcPr>
          <w:p w14:paraId="071D2EFF"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1781" w:type="dxa"/>
            <w:tcBorders>
              <w:top w:val="nil"/>
              <w:left w:val="nil"/>
              <w:bottom w:val="single" w:sz="4" w:space="0" w:color="auto"/>
              <w:right w:val="single" w:sz="4" w:space="0" w:color="auto"/>
            </w:tcBorders>
            <w:shd w:val="clear" w:color="auto" w:fill="auto"/>
            <w:noWrap/>
            <w:vAlign w:val="bottom"/>
            <w:hideMark/>
          </w:tcPr>
          <w:p w14:paraId="05A0B02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4090A5FB"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0CA7314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lastRenderedPageBreak/>
              <w:t>16/04/24 BB</w:t>
            </w:r>
          </w:p>
        </w:tc>
        <w:tc>
          <w:tcPr>
            <w:tcW w:w="6304" w:type="dxa"/>
            <w:tcBorders>
              <w:top w:val="nil"/>
              <w:left w:val="nil"/>
              <w:bottom w:val="single" w:sz="4" w:space="0" w:color="auto"/>
              <w:right w:val="single" w:sz="4" w:space="0" w:color="auto"/>
            </w:tcBorders>
            <w:shd w:val="clear" w:color="auto" w:fill="auto"/>
            <w:noWrap/>
            <w:vAlign w:val="bottom"/>
            <w:hideMark/>
          </w:tcPr>
          <w:p w14:paraId="05190F90"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16/4/24</w:t>
            </w:r>
          </w:p>
        </w:tc>
        <w:tc>
          <w:tcPr>
            <w:tcW w:w="1781" w:type="dxa"/>
            <w:tcBorders>
              <w:top w:val="nil"/>
              <w:left w:val="nil"/>
              <w:bottom w:val="single" w:sz="4" w:space="0" w:color="auto"/>
              <w:right w:val="single" w:sz="4" w:space="0" w:color="auto"/>
            </w:tcBorders>
            <w:shd w:val="clear" w:color="auto" w:fill="auto"/>
            <w:noWrap/>
            <w:vAlign w:val="bottom"/>
            <w:hideMark/>
          </w:tcPr>
          <w:p w14:paraId="2D76C5D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52CDFBA8"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083C5A5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30/04/24 BB</w:t>
            </w:r>
          </w:p>
        </w:tc>
        <w:tc>
          <w:tcPr>
            <w:tcW w:w="6304" w:type="dxa"/>
            <w:tcBorders>
              <w:top w:val="nil"/>
              <w:left w:val="nil"/>
              <w:bottom w:val="single" w:sz="4" w:space="0" w:color="auto"/>
              <w:right w:val="single" w:sz="4" w:space="0" w:color="auto"/>
            </w:tcBorders>
            <w:shd w:val="clear" w:color="auto" w:fill="auto"/>
            <w:noWrap/>
            <w:vAlign w:val="bottom"/>
            <w:hideMark/>
          </w:tcPr>
          <w:p w14:paraId="0E62E77F"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30/04/24</w:t>
            </w:r>
          </w:p>
        </w:tc>
        <w:tc>
          <w:tcPr>
            <w:tcW w:w="1781" w:type="dxa"/>
            <w:tcBorders>
              <w:top w:val="nil"/>
              <w:left w:val="nil"/>
              <w:bottom w:val="single" w:sz="4" w:space="0" w:color="auto"/>
              <w:right w:val="single" w:sz="4" w:space="0" w:color="auto"/>
            </w:tcBorders>
            <w:shd w:val="clear" w:color="auto" w:fill="auto"/>
            <w:noWrap/>
            <w:vAlign w:val="bottom"/>
            <w:hideMark/>
          </w:tcPr>
          <w:p w14:paraId="03579A7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1EDC2996"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433C44DB"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09/05/24 BB</w:t>
            </w:r>
          </w:p>
        </w:tc>
        <w:tc>
          <w:tcPr>
            <w:tcW w:w="6304" w:type="dxa"/>
            <w:tcBorders>
              <w:top w:val="nil"/>
              <w:left w:val="nil"/>
              <w:bottom w:val="single" w:sz="4" w:space="0" w:color="auto"/>
              <w:right w:val="single" w:sz="4" w:space="0" w:color="auto"/>
            </w:tcBorders>
            <w:shd w:val="clear" w:color="auto" w:fill="auto"/>
            <w:noWrap/>
            <w:vAlign w:val="bottom"/>
            <w:hideMark/>
          </w:tcPr>
          <w:p w14:paraId="7A2A63D1"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09/05/24</w:t>
            </w:r>
          </w:p>
        </w:tc>
        <w:tc>
          <w:tcPr>
            <w:tcW w:w="1781" w:type="dxa"/>
            <w:tcBorders>
              <w:top w:val="nil"/>
              <w:left w:val="nil"/>
              <w:bottom w:val="single" w:sz="4" w:space="0" w:color="auto"/>
              <w:right w:val="single" w:sz="4" w:space="0" w:color="auto"/>
            </w:tcBorders>
            <w:shd w:val="clear" w:color="auto" w:fill="auto"/>
            <w:noWrap/>
            <w:vAlign w:val="bottom"/>
            <w:hideMark/>
          </w:tcPr>
          <w:p w14:paraId="47443619"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43E3398F"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7F34246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16/05/24 BB</w:t>
            </w:r>
          </w:p>
        </w:tc>
        <w:tc>
          <w:tcPr>
            <w:tcW w:w="6304" w:type="dxa"/>
            <w:tcBorders>
              <w:top w:val="nil"/>
              <w:left w:val="nil"/>
              <w:bottom w:val="single" w:sz="4" w:space="0" w:color="auto"/>
              <w:right w:val="single" w:sz="4" w:space="0" w:color="auto"/>
            </w:tcBorders>
            <w:shd w:val="clear" w:color="auto" w:fill="auto"/>
            <w:noWrap/>
            <w:vAlign w:val="bottom"/>
            <w:hideMark/>
          </w:tcPr>
          <w:p w14:paraId="0E6647A3" w14:textId="24E63691"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16/05/24</w:t>
            </w:r>
          </w:p>
        </w:tc>
        <w:tc>
          <w:tcPr>
            <w:tcW w:w="1781" w:type="dxa"/>
            <w:tcBorders>
              <w:top w:val="nil"/>
              <w:left w:val="nil"/>
              <w:bottom w:val="single" w:sz="4" w:space="0" w:color="auto"/>
              <w:right w:val="single" w:sz="4" w:space="0" w:color="auto"/>
            </w:tcBorders>
            <w:shd w:val="clear" w:color="auto" w:fill="auto"/>
            <w:noWrap/>
            <w:vAlign w:val="bottom"/>
            <w:hideMark/>
          </w:tcPr>
          <w:p w14:paraId="04D6EA3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28BAE9BE" w14:textId="77777777" w:rsidTr="00830A43">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7F24020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30/05/24 BB</w:t>
            </w:r>
          </w:p>
        </w:tc>
        <w:tc>
          <w:tcPr>
            <w:tcW w:w="6304" w:type="dxa"/>
            <w:tcBorders>
              <w:top w:val="nil"/>
              <w:left w:val="nil"/>
              <w:bottom w:val="single" w:sz="4" w:space="0" w:color="auto"/>
              <w:right w:val="single" w:sz="4" w:space="0" w:color="auto"/>
            </w:tcBorders>
            <w:shd w:val="clear" w:color="auto" w:fill="auto"/>
            <w:noWrap/>
            <w:vAlign w:val="bottom"/>
            <w:hideMark/>
          </w:tcPr>
          <w:p w14:paraId="236EDA01"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30/05/24</w:t>
            </w:r>
          </w:p>
        </w:tc>
        <w:tc>
          <w:tcPr>
            <w:tcW w:w="1781" w:type="dxa"/>
            <w:tcBorders>
              <w:top w:val="nil"/>
              <w:left w:val="nil"/>
              <w:bottom w:val="single" w:sz="4" w:space="0" w:color="auto"/>
              <w:right w:val="single" w:sz="4" w:space="0" w:color="auto"/>
            </w:tcBorders>
            <w:shd w:val="clear" w:color="auto" w:fill="auto"/>
            <w:noWrap/>
            <w:vAlign w:val="bottom"/>
            <w:hideMark/>
          </w:tcPr>
          <w:p w14:paraId="6EAE1DD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bl>
    <w:p w14:paraId="6A0D8C30" w14:textId="77777777" w:rsidR="00830A43" w:rsidRPr="00D72CA6" w:rsidRDefault="00830A43">
      <w:pPr>
        <w:rPr>
          <w:rFonts w:ascii="Times New Roman" w:hAnsi="Times New Roman" w:cs="Times New Roman"/>
          <w:sz w:val="24"/>
          <w:szCs w:val="24"/>
        </w:rPr>
      </w:pPr>
    </w:p>
    <w:p w14:paraId="3DDB29FC" w14:textId="14E2B9CB" w:rsidR="00830A43" w:rsidRPr="00D72CA6" w:rsidRDefault="00830A43">
      <w:pPr>
        <w:rPr>
          <w:rFonts w:ascii="Times New Roman" w:hAnsi="Times New Roman" w:cs="Times New Roman"/>
          <w:sz w:val="24"/>
          <w:szCs w:val="24"/>
        </w:rPr>
      </w:pPr>
      <w:r w:rsidRPr="00D72CA6">
        <w:rPr>
          <w:rFonts w:ascii="Times New Roman" w:hAnsi="Times New Roman" w:cs="Times New Roman"/>
          <w:sz w:val="24"/>
          <w:szCs w:val="24"/>
        </w:rPr>
        <w:t>“2025_BB.csv”:</w:t>
      </w:r>
    </w:p>
    <w:tbl>
      <w:tblPr>
        <w:tblW w:w="9634" w:type="dxa"/>
        <w:jc w:val="center"/>
        <w:tblLook w:val="04A0" w:firstRow="1" w:lastRow="0" w:firstColumn="1" w:lastColumn="0" w:noHBand="0" w:noVBand="1"/>
      </w:tblPr>
      <w:tblGrid>
        <w:gridCol w:w="1696"/>
        <w:gridCol w:w="6096"/>
        <w:gridCol w:w="1842"/>
      </w:tblGrid>
      <w:tr w:rsidR="00830A43" w:rsidRPr="00D72CA6" w14:paraId="547E5518" w14:textId="77777777" w:rsidTr="00830A43">
        <w:trPr>
          <w:trHeight w:val="300"/>
          <w:jc w:val="center"/>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66C8E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096" w:type="dxa"/>
            <w:tcBorders>
              <w:top w:val="single" w:sz="4" w:space="0" w:color="auto"/>
              <w:left w:val="nil"/>
              <w:bottom w:val="single" w:sz="4" w:space="0" w:color="auto"/>
              <w:right w:val="single" w:sz="4" w:space="0" w:color="auto"/>
            </w:tcBorders>
            <w:shd w:val="clear" w:color="auto" w:fill="auto"/>
            <w:noWrap/>
            <w:vAlign w:val="bottom"/>
            <w:hideMark/>
          </w:tcPr>
          <w:p w14:paraId="3C366B36"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0EBBC4E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830A43" w:rsidRPr="00D72CA6" w14:paraId="3835E403"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0D935EE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096" w:type="dxa"/>
            <w:tcBorders>
              <w:top w:val="nil"/>
              <w:left w:val="nil"/>
              <w:bottom w:val="single" w:sz="4" w:space="0" w:color="auto"/>
              <w:right w:val="single" w:sz="4" w:space="0" w:color="auto"/>
            </w:tcBorders>
            <w:shd w:val="clear" w:color="auto" w:fill="auto"/>
            <w:noWrap/>
            <w:vAlign w:val="bottom"/>
            <w:hideMark/>
          </w:tcPr>
          <w:p w14:paraId="69AB7317"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1842" w:type="dxa"/>
            <w:tcBorders>
              <w:top w:val="nil"/>
              <w:left w:val="nil"/>
              <w:bottom w:val="single" w:sz="4" w:space="0" w:color="auto"/>
              <w:right w:val="single" w:sz="4" w:space="0" w:color="auto"/>
            </w:tcBorders>
            <w:shd w:val="clear" w:color="auto" w:fill="auto"/>
            <w:noWrap/>
            <w:vAlign w:val="bottom"/>
            <w:hideMark/>
          </w:tcPr>
          <w:p w14:paraId="716B30A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830A43" w:rsidRPr="00D72CA6" w14:paraId="65DA78CD"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0679183E"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03/04/25 BB</w:t>
            </w:r>
          </w:p>
        </w:tc>
        <w:tc>
          <w:tcPr>
            <w:tcW w:w="6096" w:type="dxa"/>
            <w:tcBorders>
              <w:top w:val="nil"/>
              <w:left w:val="nil"/>
              <w:bottom w:val="single" w:sz="4" w:space="0" w:color="auto"/>
              <w:right w:val="single" w:sz="4" w:space="0" w:color="auto"/>
            </w:tcBorders>
            <w:shd w:val="clear" w:color="auto" w:fill="auto"/>
            <w:noWrap/>
            <w:vAlign w:val="bottom"/>
            <w:hideMark/>
          </w:tcPr>
          <w:p w14:paraId="6EA3AB22"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03/04/25</w:t>
            </w:r>
          </w:p>
        </w:tc>
        <w:tc>
          <w:tcPr>
            <w:tcW w:w="1842" w:type="dxa"/>
            <w:tcBorders>
              <w:top w:val="nil"/>
              <w:left w:val="nil"/>
              <w:bottom w:val="single" w:sz="4" w:space="0" w:color="auto"/>
              <w:right w:val="single" w:sz="4" w:space="0" w:color="auto"/>
            </w:tcBorders>
            <w:shd w:val="clear" w:color="auto" w:fill="auto"/>
            <w:noWrap/>
            <w:vAlign w:val="bottom"/>
            <w:hideMark/>
          </w:tcPr>
          <w:p w14:paraId="17E9226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5B8FCF38"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09593C13"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03/04/25 Strobili</w:t>
            </w:r>
          </w:p>
        </w:tc>
        <w:tc>
          <w:tcPr>
            <w:tcW w:w="6096" w:type="dxa"/>
            <w:tcBorders>
              <w:top w:val="nil"/>
              <w:left w:val="nil"/>
              <w:bottom w:val="single" w:sz="4" w:space="0" w:color="auto"/>
              <w:right w:val="single" w:sz="4" w:space="0" w:color="auto"/>
            </w:tcBorders>
            <w:shd w:val="clear" w:color="auto" w:fill="auto"/>
            <w:noWrap/>
            <w:vAlign w:val="bottom"/>
            <w:hideMark/>
          </w:tcPr>
          <w:p w14:paraId="3F625216"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strobili development stage that each plant was assigned to on 03/04/25</w:t>
            </w:r>
          </w:p>
        </w:tc>
        <w:tc>
          <w:tcPr>
            <w:tcW w:w="1842" w:type="dxa"/>
            <w:tcBorders>
              <w:top w:val="nil"/>
              <w:left w:val="nil"/>
              <w:bottom w:val="single" w:sz="4" w:space="0" w:color="auto"/>
              <w:right w:val="single" w:sz="4" w:space="0" w:color="auto"/>
            </w:tcBorders>
            <w:shd w:val="clear" w:color="auto" w:fill="auto"/>
            <w:noWrap/>
            <w:vAlign w:val="bottom"/>
            <w:hideMark/>
          </w:tcPr>
          <w:p w14:paraId="39F3DDC6"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17D26CBF"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370D6C77"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15/04/25 BB</w:t>
            </w:r>
          </w:p>
        </w:tc>
        <w:tc>
          <w:tcPr>
            <w:tcW w:w="6096" w:type="dxa"/>
            <w:tcBorders>
              <w:top w:val="nil"/>
              <w:left w:val="nil"/>
              <w:bottom w:val="single" w:sz="4" w:space="0" w:color="auto"/>
              <w:right w:val="single" w:sz="4" w:space="0" w:color="auto"/>
            </w:tcBorders>
            <w:shd w:val="clear" w:color="auto" w:fill="auto"/>
            <w:noWrap/>
            <w:vAlign w:val="bottom"/>
            <w:hideMark/>
          </w:tcPr>
          <w:p w14:paraId="1906D1E5"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15/04/25</w:t>
            </w:r>
          </w:p>
        </w:tc>
        <w:tc>
          <w:tcPr>
            <w:tcW w:w="1842" w:type="dxa"/>
            <w:tcBorders>
              <w:top w:val="nil"/>
              <w:left w:val="nil"/>
              <w:bottom w:val="single" w:sz="4" w:space="0" w:color="auto"/>
              <w:right w:val="single" w:sz="4" w:space="0" w:color="auto"/>
            </w:tcBorders>
            <w:shd w:val="clear" w:color="auto" w:fill="auto"/>
            <w:noWrap/>
            <w:vAlign w:val="bottom"/>
            <w:hideMark/>
          </w:tcPr>
          <w:p w14:paraId="35AF0EAA"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299F48FA"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7EA29ED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15/04/25 Strobili</w:t>
            </w:r>
          </w:p>
        </w:tc>
        <w:tc>
          <w:tcPr>
            <w:tcW w:w="6096" w:type="dxa"/>
            <w:tcBorders>
              <w:top w:val="nil"/>
              <w:left w:val="nil"/>
              <w:bottom w:val="single" w:sz="4" w:space="0" w:color="auto"/>
              <w:right w:val="single" w:sz="4" w:space="0" w:color="auto"/>
            </w:tcBorders>
            <w:shd w:val="clear" w:color="auto" w:fill="auto"/>
            <w:noWrap/>
            <w:vAlign w:val="bottom"/>
            <w:hideMark/>
          </w:tcPr>
          <w:p w14:paraId="3FB3CA69"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strobili development stage that each plant was assigned to on 15/04/25</w:t>
            </w:r>
          </w:p>
        </w:tc>
        <w:tc>
          <w:tcPr>
            <w:tcW w:w="1842" w:type="dxa"/>
            <w:tcBorders>
              <w:top w:val="nil"/>
              <w:left w:val="nil"/>
              <w:bottom w:val="single" w:sz="4" w:space="0" w:color="auto"/>
              <w:right w:val="single" w:sz="4" w:space="0" w:color="auto"/>
            </w:tcBorders>
            <w:shd w:val="clear" w:color="auto" w:fill="auto"/>
            <w:noWrap/>
            <w:vAlign w:val="bottom"/>
            <w:hideMark/>
          </w:tcPr>
          <w:p w14:paraId="6F68FC2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7DE5DC8A"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5EBF77C2"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29/04/25 BB</w:t>
            </w:r>
          </w:p>
        </w:tc>
        <w:tc>
          <w:tcPr>
            <w:tcW w:w="6096" w:type="dxa"/>
            <w:tcBorders>
              <w:top w:val="nil"/>
              <w:left w:val="nil"/>
              <w:bottom w:val="single" w:sz="4" w:space="0" w:color="auto"/>
              <w:right w:val="single" w:sz="4" w:space="0" w:color="auto"/>
            </w:tcBorders>
            <w:shd w:val="clear" w:color="auto" w:fill="auto"/>
            <w:noWrap/>
            <w:vAlign w:val="bottom"/>
            <w:hideMark/>
          </w:tcPr>
          <w:p w14:paraId="72623E9E"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29/04/25</w:t>
            </w:r>
          </w:p>
        </w:tc>
        <w:tc>
          <w:tcPr>
            <w:tcW w:w="1842" w:type="dxa"/>
            <w:tcBorders>
              <w:top w:val="nil"/>
              <w:left w:val="nil"/>
              <w:bottom w:val="single" w:sz="4" w:space="0" w:color="auto"/>
              <w:right w:val="single" w:sz="4" w:space="0" w:color="auto"/>
            </w:tcBorders>
            <w:shd w:val="clear" w:color="auto" w:fill="auto"/>
            <w:noWrap/>
            <w:vAlign w:val="bottom"/>
            <w:hideMark/>
          </w:tcPr>
          <w:p w14:paraId="3E0917E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1D48D66F"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764A971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29/04/25 Strobili</w:t>
            </w:r>
          </w:p>
        </w:tc>
        <w:tc>
          <w:tcPr>
            <w:tcW w:w="6096" w:type="dxa"/>
            <w:tcBorders>
              <w:top w:val="nil"/>
              <w:left w:val="nil"/>
              <w:bottom w:val="single" w:sz="4" w:space="0" w:color="auto"/>
              <w:right w:val="single" w:sz="4" w:space="0" w:color="auto"/>
            </w:tcBorders>
            <w:shd w:val="clear" w:color="auto" w:fill="auto"/>
            <w:noWrap/>
            <w:vAlign w:val="bottom"/>
            <w:hideMark/>
          </w:tcPr>
          <w:p w14:paraId="26940C7A"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strobili development stage that each plant was assigned to on 29/04/25</w:t>
            </w:r>
          </w:p>
        </w:tc>
        <w:tc>
          <w:tcPr>
            <w:tcW w:w="1842" w:type="dxa"/>
            <w:tcBorders>
              <w:top w:val="nil"/>
              <w:left w:val="nil"/>
              <w:bottom w:val="single" w:sz="4" w:space="0" w:color="auto"/>
              <w:right w:val="single" w:sz="4" w:space="0" w:color="auto"/>
            </w:tcBorders>
            <w:shd w:val="clear" w:color="auto" w:fill="auto"/>
            <w:noWrap/>
            <w:vAlign w:val="bottom"/>
            <w:hideMark/>
          </w:tcPr>
          <w:p w14:paraId="18AF6F2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317397AD"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0E5725F0"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13/05/25 BB</w:t>
            </w:r>
          </w:p>
        </w:tc>
        <w:tc>
          <w:tcPr>
            <w:tcW w:w="6096" w:type="dxa"/>
            <w:tcBorders>
              <w:top w:val="nil"/>
              <w:left w:val="nil"/>
              <w:bottom w:val="single" w:sz="4" w:space="0" w:color="auto"/>
              <w:right w:val="single" w:sz="4" w:space="0" w:color="auto"/>
            </w:tcBorders>
            <w:shd w:val="clear" w:color="auto" w:fill="auto"/>
            <w:noWrap/>
            <w:vAlign w:val="bottom"/>
            <w:hideMark/>
          </w:tcPr>
          <w:p w14:paraId="405711D9"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13/05/25</w:t>
            </w:r>
          </w:p>
        </w:tc>
        <w:tc>
          <w:tcPr>
            <w:tcW w:w="1842" w:type="dxa"/>
            <w:tcBorders>
              <w:top w:val="nil"/>
              <w:left w:val="nil"/>
              <w:bottom w:val="single" w:sz="4" w:space="0" w:color="auto"/>
              <w:right w:val="single" w:sz="4" w:space="0" w:color="auto"/>
            </w:tcBorders>
            <w:shd w:val="clear" w:color="auto" w:fill="auto"/>
            <w:noWrap/>
            <w:vAlign w:val="bottom"/>
            <w:hideMark/>
          </w:tcPr>
          <w:p w14:paraId="67548B5F"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1682879E"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3A8E8B5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13/05/25 Strobili</w:t>
            </w:r>
          </w:p>
        </w:tc>
        <w:tc>
          <w:tcPr>
            <w:tcW w:w="6096" w:type="dxa"/>
            <w:tcBorders>
              <w:top w:val="nil"/>
              <w:left w:val="nil"/>
              <w:bottom w:val="single" w:sz="4" w:space="0" w:color="auto"/>
              <w:right w:val="single" w:sz="4" w:space="0" w:color="auto"/>
            </w:tcBorders>
            <w:shd w:val="clear" w:color="auto" w:fill="auto"/>
            <w:noWrap/>
            <w:vAlign w:val="bottom"/>
            <w:hideMark/>
          </w:tcPr>
          <w:p w14:paraId="09851527"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strobili development stage that each plant was assigned to on13/05/25</w:t>
            </w:r>
          </w:p>
        </w:tc>
        <w:tc>
          <w:tcPr>
            <w:tcW w:w="1842" w:type="dxa"/>
            <w:tcBorders>
              <w:top w:val="nil"/>
              <w:left w:val="nil"/>
              <w:bottom w:val="single" w:sz="4" w:space="0" w:color="auto"/>
              <w:right w:val="single" w:sz="4" w:space="0" w:color="auto"/>
            </w:tcBorders>
            <w:shd w:val="clear" w:color="auto" w:fill="auto"/>
            <w:noWrap/>
            <w:vAlign w:val="bottom"/>
            <w:hideMark/>
          </w:tcPr>
          <w:p w14:paraId="51892CA5"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534975C2"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8996B6D"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30/05/25 BB</w:t>
            </w:r>
          </w:p>
        </w:tc>
        <w:tc>
          <w:tcPr>
            <w:tcW w:w="6096" w:type="dxa"/>
            <w:tcBorders>
              <w:top w:val="nil"/>
              <w:left w:val="nil"/>
              <w:bottom w:val="single" w:sz="4" w:space="0" w:color="auto"/>
              <w:right w:val="single" w:sz="4" w:space="0" w:color="auto"/>
            </w:tcBorders>
            <w:shd w:val="clear" w:color="auto" w:fill="auto"/>
            <w:noWrap/>
            <w:vAlign w:val="bottom"/>
            <w:hideMark/>
          </w:tcPr>
          <w:p w14:paraId="20BB02D3"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bud burst stage that each plant was assigned to on 30/05/25</w:t>
            </w:r>
          </w:p>
        </w:tc>
        <w:tc>
          <w:tcPr>
            <w:tcW w:w="1842" w:type="dxa"/>
            <w:tcBorders>
              <w:top w:val="nil"/>
              <w:left w:val="nil"/>
              <w:bottom w:val="single" w:sz="4" w:space="0" w:color="auto"/>
              <w:right w:val="single" w:sz="4" w:space="0" w:color="auto"/>
            </w:tcBorders>
            <w:shd w:val="clear" w:color="auto" w:fill="auto"/>
            <w:noWrap/>
            <w:vAlign w:val="bottom"/>
            <w:hideMark/>
          </w:tcPr>
          <w:p w14:paraId="41682468"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r w:rsidR="00830A43" w:rsidRPr="00D72CA6" w14:paraId="1472193F" w14:textId="77777777" w:rsidTr="00830A43">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4437745C"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30/05/25 Strobili</w:t>
            </w:r>
          </w:p>
        </w:tc>
        <w:tc>
          <w:tcPr>
            <w:tcW w:w="6096" w:type="dxa"/>
            <w:tcBorders>
              <w:top w:val="nil"/>
              <w:left w:val="nil"/>
              <w:bottom w:val="single" w:sz="4" w:space="0" w:color="auto"/>
              <w:right w:val="single" w:sz="4" w:space="0" w:color="auto"/>
            </w:tcBorders>
            <w:shd w:val="clear" w:color="auto" w:fill="auto"/>
            <w:noWrap/>
            <w:vAlign w:val="bottom"/>
            <w:hideMark/>
          </w:tcPr>
          <w:p w14:paraId="1E77C1F2" w14:textId="77777777" w:rsidR="00830A43" w:rsidRPr="00D72CA6" w:rsidRDefault="00830A43" w:rsidP="00830A4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ordinal strobili development stage that each plant was assigned to on 30/05/25</w:t>
            </w:r>
          </w:p>
        </w:tc>
        <w:tc>
          <w:tcPr>
            <w:tcW w:w="1842" w:type="dxa"/>
            <w:tcBorders>
              <w:top w:val="nil"/>
              <w:left w:val="nil"/>
              <w:bottom w:val="single" w:sz="4" w:space="0" w:color="auto"/>
              <w:right w:val="single" w:sz="4" w:space="0" w:color="auto"/>
            </w:tcBorders>
            <w:shd w:val="clear" w:color="auto" w:fill="auto"/>
            <w:noWrap/>
            <w:vAlign w:val="bottom"/>
            <w:hideMark/>
          </w:tcPr>
          <w:p w14:paraId="73581031" w14:textId="77777777" w:rsidR="00830A43" w:rsidRPr="00D72CA6" w:rsidRDefault="00830A43" w:rsidP="00830A4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Numeric-ordinal</w:t>
            </w:r>
          </w:p>
        </w:tc>
      </w:tr>
    </w:tbl>
    <w:p w14:paraId="4F21639F" w14:textId="77777777" w:rsidR="00830A43" w:rsidRPr="00D72CA6" w:rsidRDefault="00830A43">
      <w:pPr>
        <w:rPr>
          <w:rFonts w:ascii="Times New Roman" w:hAnsi="Times New Roman" w:cs="Times New Roman"/>
          <w:sz w:val="24"/>
          <w:szCs w:val="24"/>
        </w:rPr>
      </w:pPr>
    </w:p>
    <w:p w14:paraId="0F8361D3" w14:textId="1825F8FF" w:rsidR="00830A43" w:rsidRPr="00D72CA6" w:rsidRDefault="00830A43">
      <w:pPr>
        <w:rPr>
          <w:rFonts w:ascii="Times New Roman" w:hAnsi="Times New Roman" w:cs="Times New Roman"/>
          <w:sz w:val="24"/>
          <w:szCs w:val="24"/>
        </w:rPr>
      </w:pPr>
      <w:r w:rsidRPr="00D72CA6">
        <w:rPr>
          <w:rFonts w:ascii="Times New Roman" w:hAnsi="Times New Roman" w:cs="Times New Roman"/>
          <w:sz w:val="24"/>
          <w:szCs w:val="24"/>
        </w:rPr>
        <w:t>“Cardrona_climate_data.csv”</w:t>
      </w:r>
    </w:p>
    <w:tbl>
      <w:tblPr>
        <w:tblW w:w="9493" w:type="dxa"/>
        <w:jc w:val="center"/>
        <w:tblLook w:val="04A0" w:firstRow="1" w:lastRow="0" w:firstColumn="1" w:lastColumn="0" w:noHBand="0" w:noVBand="1"/>
      </w:tblPr>
      <w:tblGrid>
        <w:gridCol w:w="1696"/>
        <w:gridCol w:w="5529"/>
        <w:gridCol w:w="2268"/>
      </w:tblGrid>
      <w:tr w:rsidR="00257852" w:rsidRPr="00D72CA6" w14:paraId="7E731285" w14:textId="77777777" w:rsidTr="00257852">
        <w:trPr>
          <w:trHeight w:val="300"/>
          <w:jc w:val="center"/>
        </w:trPr>
        <w:tc>
          <w:tcPr>
            <w:tcW w:w="169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58B450"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5529" w:type="dxa"/>
            <w:tcBorders>
              <w:top w:val="single" w:sz="4" w:space="0" w:color="auto"/>
              <w:left w:val="nil"/>
              <w:bottom w:val="single" w:sz="4" w:space="0" w:color="auto"/>
              <w:right w:val="single" w:sz="4" w:space="0" w:color="auto"/>
            </w:tcBorders>
            <w:shd w:val="clear" w:color="auto" w:fill="auto"/>
            <w:noWrap/>
            <w:vAlign w:val="bottom"/>
            <w:hideMark/>
          </w:tcPr>
          <w:p w14:paraId="430A1B82"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75CE17C7"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257852" w:rsidRPr="00D72CA6" w14:paraId="2A6E69A4"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1F9A6171"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pop</w:t>
            </w:r>
          </w:p>
        </w:tc>
        <w:tc>
          <w:tcPr>
            <w:tcW w:w="5529" w:type="dxa"/>
            <w:tcBorders>
              <w:top w:val="nil"/>
              <w:left w:val="nil"/>
              <w:bottom w:val="single" w:sz="4" w:space="0" w:color="auto"/>
              <w:right w:val="single" w:sz="4" w:space="0" w:color="auto"/>
            </w:tcBorders>
            <w:shd w:val="clear" w:color="auto" w:fill="auto"/>
            <w:noWrap/>
            <w:vAlign w:val="bottom"/>
            <w:hideMark/>
          </w:tcPr>
          <w:p w14:paraId="0098FFE6"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population that was included in the trial as a two-letter abbreviation</w:t>
            </w:r>
          </w:p>
        </w:tc>
        <w:tc>
          <w:tcPr>
            <w:tcW w:w="2268" w:type="dxa"/>
            <w:tcBorders>
              <w:top w:val="nil"/>
              <w:left w:val="nil"/>
              <w:bottom w:val="single" w:sz="4" w:space="0" w:color="auto"/>
              <w:right w:val="single" w:sz="4" w:space="0" w:color="auto"/>
            </w:tcBorders>
            <w:shd w:val="clear" w:color="auto" w:fill="auto"/>
            <w:noWrap/>
            <w:vAlign w:val="bottom"/>
            <w:hideMark/>
          </w:tcPr>
          <w:p w14:paraId="089DD7DA"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257852" w:rsidRPr="00D72CA6" w14:paraId="12C95638"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68D77455"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lat</w:t>
            </w:r>
          </w:p>
        </w:tc>
        <w:tc>
          <w:tcPr>
            <w:tcW w:w="5529" w:type="dxa"/>
            <w:tcBorders>
              <w:top w:val="nil"/>
              <w:left w:val="nil"/>
              <w:bottom w:val="single" w:sz="4" w:space="0" w:color="auto"/>
              <w:right w:val="single" w:sz="4" w:space="0" w:color="auto"/>
            </w:tcBorders>
            <w:shd w:val="clear" w:color="auto" w:fill="auto"/>
            <w:noWrap/>
            <w:vAlign w:val="bottom"/>
            <w:hideMark/>
          </w:tcPr>
          <w:p w14:paraId="2C96C878"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latitude of the sampled population in decimal-degrees</w:t>
            </w:r>
          </w:p>
        </w:tc>
        <w:tc>
          <w:tcPr>
            <w:tcW w:w="2268" w:type="dxa"/>
            <w:tcBorders>
              <w:top w:val="nil"/>
              <w:left w:val="nil"/>
              <w:bottom w:val="single" w:sz="4" w:space="0" w:color="auto"/>
              <w:right w:val="single" w:sz="4" w:space="0" w:color="auto"/>
            </w:tcBorders>
            <w:shd w:val="clear" w:color="auto" w:fill="auto"/>
            <w:noWrap/>
            <w:vAlign w:val="bottom"/>
            <w:hideMark/>
          </w:tcPr>
          <w:p w14:paraId="2F956ED3"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(decimal-degrees)</w:t>
            </w:r>
          </w:p>
        </w:tc>
      </w:tr>
      <w:tr w:rsidR="00257852" w:rsidRPr="00D72CA6" w14:paraId="7D6BA202"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50FD5359"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lon</w:t>
            </w:r>
          </w:p>
        </w:tc>
        <w:tc>
          <w:tcPr>
            <w:tcW w:w="5529" w:type="dxa"/>
            <w:tcBorders>
              <w:top w:val="nil"/>
              <w:left w:val="nil"/>
              <w:bottom w:val="single" w:sz="4" w:space="0" w:color="auto"/>
              <w:right w:val="single" w:sz="4" w:space="0" w:color="auto"/>
            </w:tcBorders>
            <w:shd w:val="clear" w:color="auto" w:fill="auto"/>
            <w:noWrap/>
            <w:vAlign w:val="bottom"/>
            <w:hideMark/>
          </w:tcPr>
          <w:p w14:paraId="21734F3B"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longitude of the sampled population in decimal-degrees</w:t>
            </w:r>
          </w:p>
        </w:tc>
        <w:tc>
          <w:tcPr>
            <w:tcW w:w="2268" w:type="dxa"/>
            <w:tcBorders>
              <w:top w:val="nil"/>
              <w:left w:val="nil"/>
              <w:bottom w:val="single" w:sz="4" w:space="0" w:color="auto"/>
              <w:right w:val="single" w:sz="4" w:space="0" w:color="auto"/>
            </w:tcBorders>
            <w:shd w:val="clear" w:color="auto" w:fill="auto"/>
            <w:noWrap/>
            <w:vAlign w:val="bottom"/>
            <w:hideMark/>
          </w:tcPr>
          <w:p w14:paraId="5FB3525D"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(decimal-degrees)</w:t>
            </w:r>
          </w:p>
        </w:tc>
      </w:tr>
      <w:tr w:rsidR="00257852" w:rsidRPr="00D72CA6" w14:paraId="66BB8EF3"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253319F8"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variable</w:t>
            </w:r>
          </w:p>
        </w:tc>
        <w:tc>
          <w:tcPr>
            <w:tcW w:w="5529" w:type="dxa"/>
            <w:tcBorders>
              <w:top w:val="nil"/>
              <w:left w:val="nil"/>
              <w:bottom w:val="single" w:sz="4" w:space="0" w:color="auto"/>
              <w:right w:val="single" w:sz="4" w:space="0" w:color="auto"/>
            </w:tcBorders>
            <w:shd w:val="clear" w:color="auto" w:fill="auto"/>
            <w:noWrap/>
            <w:vAlign w:val="bottom"/>
            <w:hideMark/>
          </w:tcPr>
          <w:p w14:paraId="347800A8"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which climatic variable the "value" column is recording. One of: "cmi," "sfcWind," "pr," "tasmin" or "tasmax"</w:t>
            </w:r>
          </w:p>
        </w:tc>
        <w:tc>
          <w:tcPr>
            <w:tcW w:w="2268" w:type="dxa"/>
            <w:tcBorders>
              <w:top w:val="nil"/>
              <w:left w:val="nil"/>
              <w:bottom w:val="single" w:sz="4" w:space="0" w:color="auto"/>
              <w:right w:val="single" w:sz="4" w:space="0" w:color="auto"/>
            </w:tcBorders>
            <w:shd w:val="clear" w:color="auto" w:fill="auto"/>
            <w:noWrap/>
            <w:vAlign w:val="bottom"/>
            <w:hideMark/>
          </w:tcPr>
          <w:p w14:paraId="7ABE0465"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257852" w:rsidRPr="00D72CA6" w14:paraId="0503C5BF"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4467EEA6"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lastRenderedPageBreak/>
              <w:t>year</w:t>
            </w:r>
          </w:p>
        </w:tc>
        <w:tc>
          <w:tcPr>
            <w:tcW w:w="5529" w:type="dxa"/>
            <w:tcBorders>
              <w:top w:val="nil"/>
              <w:left w:val="nil"/>
              <w:bottom w:val="single" w:sz="4" w:space="0" w:color="auto"/>
              <w:right w:val="single" w:sz="4" w:space="0" w:color="auto"/>
            </w:tcBorders>
            <w:shd w:val="clear" w:color="auto" w:fill="auto"/>
            <w:noWrap/>
            <w:vAlign w:val="bottom"/>
            <w:hideMark/>
          </w:tcPr>
          <w:p w14:paraId="623B1F22"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year of recording</w:t>
            </w:r>
          </w:p>
        </w:tc>
        <w:tc>
          <w:tcPr>
            <w:tcW w:w="2268" w:type="dxa"/>
            <w:tcBorders>
              <w:top w:val="nil"/>
              <w:left w:val="nil"/>
              <w:bottom w:val="single" w:sz="4" w:space="0" w:color="auto"/>
              <w:right w:val="single" w:sz="4" w:space="0" w:color="auto"/>
            </w:tcBorders>
            <w:shd w:val="clear" w:color="auto" w:fill="auto"/>
            <w:noWrap/>
            <w:vAlign w:val="bottom"/>
            <w:hideMark/>
          </w:tcPr>
          <w:p w14:paraId="11264A79"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257852" w:rsidRPr="00D72CA6" w14:paraId="368B68CC"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7CC5F64B"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month</w:t>
            </w:r>
          </w:p>
        </w:tc>
        <w:tc>
          <w:tcPr>
            <w:tcW w:w="5529" w:type="dxa"/>
            <w:tcBorders>
              <w:top w:val="nil"/>
              <w:left w:val="nil"/>
              <w:bottom w:val="single" w:sz="4" w:space="0" w:color="auto"/>
              <w:right w:val="single" w:sz="4" w:space="0" w:color="auto"/>
            </w:tcBorders>
            <w:shd w:val="clear" w:color="auto" w:fill="auto"/>
            <w:noWrap/>
            <w:vAlign w:val="bottom"/>
            <w:hideMark/>
          </w:tcPr>
          <w:p w14:paraId="51868724"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month of recording</w:t>
            </w:r>
          </w:p>
        </w:tc>
        <w:tc>
          <w:tcPr>
            <w:tcW w:w="2268" w:type="dxa"/>
            <w:tcBorders>
              <w:top w:val="nil"/>
              <w:left w:val="nil"/>
              <w:bottom w:val="single" w:sz="4" w:space="0" w:color="auto"/>
              <w:right w:val="single" w:sz="4" w:space="0" w:color="auto"/>
            </w:tcBorders>
            <w:shd w:val="clear" w:color="auto" w:fill="auto"/>
            <w:noWrap/>
            <w:vAlign w:val="bottom"/>
            <w:hideMark/>
          </w:tcPr>
          <w:p w14:paraId="30FB5F7F"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257852" w:rsidRPr="00D72CA6" w14:paraId="1C0D3C9F" w14:textId="77777777" w:rsidTr="00257852">
        <w:trPr>
          <w:trHeight w:val="300"/>
          <w:jc w:val="center"/>
        </w:trPr>
        <w:tc>
          <w:tcPr>
            <w:tcW w:w="1696" w:type="dxa"/>
            <w:tcBorders>
              <w:top w:val="nil"/>
              <w:left w:val="single" w:sz="4" w:space="0" w:color="auto"/>
              <w:bottom w:val="single" w:sz="4" w:space="0" w:color="auto"/>
              <w:right w:val="single" w:sz="4" w:space="0" w:color="auto"/>
            </w:tcBorders>
            <w:shd w:val="clear" w:color="auto" w:fill="auto"/>
            <w:noWrap/>
            <w:vAlign w:val="bottom"/>
            <w:hideMark/>
          </w:tcPr>
          <w:p w14:paraId="1D4035E6"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value</w:t>
            </w:r>
          </w:p>
        </w:tc>
        <w:tc>
          <w:tcPr>
            <w:tcW w:w="5529" w:type="dxa"/>
            <w:tcBorders>
              <w:top w:val="nil"/>
              <w:left w:val="nil"/>
              <w:bottom w:val="single" w:sz="4" w:space="0" w:color="auto"/>
              <w:right w:val="single" w:sz="4" w:space="0" w:color="auto"/>
            </w:tcBorders>
            <w:shd w:val="clear" w:color="auto" w:fill="auto"/>
            <w:noWrap/>
            <w:vAlign w:val="bottom"/>
            <w:hideMark/>
          </w:tcPr>
          <w:p w14:paraId="43607F96" w14:textId="52A80EFE"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numeric value for any given combination of pop, variable year and month.</w:t>
            </w:r>
          </w:p>
        </w:tc>
        <w:tc>
          <w:tcPr>
            <w:tcW w:w="2268" w:type="dxa"/>
            <w:tcBorders>
              <w:top w:val="nil"/>
              <w:left w:val="nil"/>
              <w:bottom w:val="single" w:sz="4" w:space="0" w:color="auto"/>
              <w:right w:val="single" w:sz="4" w:space="0" w:color="auto"/>
            </w:tcBorders>
            <w:shd w:val="clear" w:color="auto" w:fill="auto"/>
            <w:noWrap/>
            <w:vAlign w:val="bottom"/>
            <w:hideMark/>
          </w:tcPr>
          <w:p w14:paraId="680B7ED2"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(different units for each variable)</w:t>
            </w:r>
          </w:p>
        </w:tc>
      </w:tr>
    </w:tbl>
    <w:p w14:paraId="7AAB3A9A" w14:textId="77777777" w:rsidR="00257852" w:rsidRPr="00D72CA6" w:rsidRDefault="00257852">
      <w:pPr>
        <w:rPr>
          <w:rFonts w:ascii="Times New Roman" w:hAnsi="Times New Roman" w:cs="Times New Roman"/>
          <w:sz w:val="24"/>
          <w:szCs w:val="24"/>
        </w:rPr>
      </w:pPr>
    </w:p>
    <w:p w14:paraId="498ABE6B" w14:textId="1FC107DB" w:rsidR="00257852" w:rsidRPr="00D72CA6" w:rsidRDefault="00257852" w:rsidP="00257852">
      <w:pPr>
        <w:spacing w:after="0"/>
        <w:rPr>
          <w:rFonts w:ascii="Times New Roman" w:hAnsi="Times New Roman" w:cs="Times New Roman"/>
          <w:sz w:val="24"/>
          <w:szCs w:val="24"/>
        </w:rPr>
      </w:pPr>
      <w:r w:rsidRPr="00D72CA6">
        <w:rPr>
          <w:rFonts w:ascii="Times New Roman" w:hAnsi="Times New Roman" w:cs="Times New Roman"/>
          <w:sz w:val="24"/>
          <w:szCs w:val="24"/>
        </w:rPr>
        <w:t>“Munsell_data.csv”:</w:t>
      </w:r>
    </w:p>
    <w:tbl>
      <w:tblPr>
        <w:tblW w:w="9493" w:type="dxa"/>
        <w:jc w:val="center"/>
        <w:tblLook w:val="04A0" w:firstRow="1" w:lastRow="0" w:firstColumn="1" w:lastColumn="0" w:noHBand="0" w:noVBand="1"/>
      </w:tblPr>
      <w:tblGrid>
        <w:gridCol w:w="1838"/>
        <w:gridCol w:w="6184"/>
        <w:gridCol w:w="1471"/>
      </w:tblGrid>
      <w:tr w:rsidR="00257852" w:rsidRPr="00D72CA6" w14:paraId="74C2BEBB" w14:textId="77777777" w:rsidTr="00257852">
        <w:trPr>
          <w:trHeight w:val="300"/>
          <w:jc w:val="center"/>
        </w:trPr>
        <w:tc>
          <w:tcPr>
            <w:tcW w:w="18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D55743"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184" w:type="dxa"/>
            <w:tcBorders>
              <w:top w:val="single" w:sz="4" w:space="0" w:color="auto"/>
              <w:left w:val="nil"/>
              <w:bottom w:val="single" w:sz="4" w:space="0" w:color="auto"/>
              <w:right w:val="single" w:sz="4" w:space="0" w:color="auto"/>
            </w:tcBorders>
            <w:shd w:val="clear" w:color="auto" w:fill="auto"/>
            <w:noWrap/>
            <w:vAlign w:val="bottom"/>
            <w:hideMark/>
          </w:tcPr>
          <w:p w14:paraId="41814EB3"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471" w:type="dxa"/>
            <w:tcBorders>
              <w:top w:val="single" w:sz="4" w:space="0" w:color="auto"/>
              <w:left w:val="nil"/>
              <w:bottom w:val="single" w:sz="4" w:space="0" w:color="auto"/>
              <w:right w:val="single" w:sz="4" w:space="0" w:color="auto"/>
            </w:tcBorders>
            <w:shd w:val="clear" w:color="auto" w:fill="auto"/>
            <w:noWrap/>
            <w:vAlign w:val="bottom"/>
            <w:hideMark/>
          </w:tcPr>
          <w:p w14:paraId="18B50D0F"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257852" w:rsidRPr="00D72CA6" w14:paraId="608B7990" w14:textId="77777777" w:rsidTr="0025785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6E1BF44E" w14:textId="3BA9D090" w:rsidR="00257852" w:rsidRPr="00D72CA6" w:rsidRDefault="00FD6593"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184" w:type="dxa"/>
            <w:tcBorders>
              <w:top w:val="nil"/>
              <w:left w:val="nil"/>
              <w:bottom w:val="single" w:sz="4" w:space="0" w:color="auto"/>
              <w:right w:val="single" w:sz="4" w:space="0" w:color="auto"/>
            </w:tcBorders>
            <w:shd w:val="clear" w:color="auto" w:fill="auto"/>
            <w:noWrap/>
            <w:vAlign w:val="bottom"/>
            <w:hideMark/>
          </w:tcPr>
          <w:p w14:paraId="41785596"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1471" w:type="dxa"/>
            <w:tcBorders>
              <w:top w:val="nil"/>
              <w:left w:val="nil"/>
              <w:bottom w:val="single" w:sz="4" w:space="0" w:color="auto"/>
              <w:right w:val="single" w:sz="4" w:space="0" w:color="auto"/>
            </w:tcBorders>
            <w:shd w:val="clear" w:color="auto" w:fill="auto"/>
            <w:noWrap/>
            <w:vAlign w:val="bottom"/>
            <w:hideMark/>
          </w:tcPr>
          <w:p w14:paraId="40784212"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257852" w:rsidRPr="00D72CA6" w14:paraId="3C7E2ECB" w14:textId="77777777" w:rsidTr="0025785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61C37F06"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Bottom_full</w:t>
            </w:r>
          </w:p>
        </w:tc>
        <w:tc>
          <w:tcPr>
            <w:tcW w:w="6184" w:type="dxa"/>
            <w:tcBorders>
              <w:top w:val="nil"/>
              <w:left w:val="nil"/>
              <w:bottom w:val="single" w:sz="4" w:space="0" w:color="auto"/>
              <w:right w:val="single" w:sz="4" w:space="0" w:color="auto"/>
            </w:tcBorders>
            <w:shd w:val="clear" w:color="auto" w:fill="auto"/>
            <w:noWrap/>
            <w:vAlign w:val="bottom"/>
            <w:hideMark/>
          </w:tcPr>
          <w:p w14:paraId="23ECF0BC"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full Munsell colour code assigned to the abaxial needle surface</w:t>
            </w:r>
          </w:p>
        </w:tc>
        <w:tc>
          <w:tcPr>
            <w:tcW w:w="1471" w:type="dxa"/>
            <w:tcBorders>
              <w:top w:val="nil"/>
              <w:left w:val="nil"/>
              <w:bottom w:val="single" w:sz="4" w:space="0" w:color="auto"/>
              <w:right w:val="single" w:sz="4" w:space="0" w:color="auto"/>
            </w:tcBorders>
            <w:shd w:val="clear" w:color="auto" w:fill="auto"/>
            <w:noWrap/>
            <w:vAlign w:val="bottom"/>
            <w:hideMark/>
          </w:tcPr>
          <w:p w14:paraId="53DC10D2"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257852" w:rsidRPr="00D72CA6" w14:paraId="0FD7A001" w14:textId="77777777" w:rsidTr="0025785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4FD5E7CE"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Top_full</w:t>
            </w:r>
          </w:p>
        </w:tc>
        <w:tc>
          <w:tcPr>
            <w:tcW w:w="6184" w:type="dxa"/>
            <w:tcBorders>
              <w:top w:val="nil"/>
              <w:left w:val="nil"/>
              <w:bottom w:val="single" w:sz="4" w:space="0" w:color="auto"/>
              <w:right w:val="single" w:sz="4" w:space="0" w:color="auto"/>
            </w:tcBorders>
            <w:shd w:val="clear" w:color="auto" w:fill="auto"/>
            <w:noWrap/>
            <w:vAlign w:val="bottom"/>
            <w:hideMark/>
          </w:tcPr>
          <w:p w14:paraId="5C2A9D4E"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full Munsell colour code assigned to the adaxial needle surface</w:t>
            </w:r>
          </w:p>
        </w:tc>
        <w:tc>
          <w:tcPr>
            <w:tcW w:w="1471" w:type="dxa"/>
            <w:tcBorders>
              <w:top w:val="nil"/>
              <w:left w:val="nil"/>
              <w:bottom w:val="single" w:sz="4" w:space="0" w:color="auto"/>
              <w:right w:val="single" w:sz="4" w:space="0" w:color="auto"/>
            </w:tcBorders>
            <w:shd w:val="clear" w:color="auto" w:fill="auto"/>
            <w:noWrap/>
            <w:vAlign w:val="bottom"/>
            <w:hideMark/>
          </w:tcPr>
          <w:p w14:paraId="69E1A083"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257852" w:rsidRPr="00D72CA6" w14:paraId="57F6C703" w14:textId="77777777" w:rsidTr="0025785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5E21F4BE"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Munsell value day</w:t>
            </w:r>
          </w:p>
        </w:tc>
        <w:tc>
          <w:tcPr>
            <w:tcW w:w="6184" w:type="dxa"/>
            <w:tcBorders>
              <w:top w:val="nil"/>
              <w:left w:val="nil"/>
              <w:bottom w:val="single" w:sz="4" w:space="0" w:color="auto"/>
              <w:right w:val="single" w:sz="4" w:space="0" w:color="auto"/>
            </w:tcBorders>
            <w:shd w:val="clear" w:color="auto" w:fill="auto"/>
            <w:noWrap/>
            <w:vAlign w:val="bottom"/>
            <w:hideMark/>
          </w:tcPr>
          <w:p w14:paraId="57B70792"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date that the Munsell colour code assignment was made</w:t>
            </w:r>
          </w:p>
        </w:tc>
        <w:tc>
          <w:tcPr>
            <w:tcW w:w="1471" w:type="dxa"/>
            <w:tcBorders>
              <w:top w:val="nil"/>
              <w:left w:val="nil"/>
              <w:bottom w:val="single" w:sz="4" w:space="0" w:color="auto"/>
              <w:right w:val="single" w:sz="4" w:space="0" w:color="auto"/>
            </w:tcBorders>
            <w:shd w:val="clear" w:color="auto" w:fill="auto"/>
            <w:noWrap/>
            <w:vAlign w:val="bottom"/>
            <w:hideMark/>
          </w:tcPr>
          <w:p w14:paraId="23AA511F"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Date</w:t>
            </w:r>
          </w:p>
        </w:tc>
      </w:tr>
      <w:tr w:rsidR="00257852" w:rsidRPr="00D72CA6" w14:paraId="79291645" w14:textId="77777777" w:rsidTr="00257852">
        <w:trPr>
          <w:trHeight w:val="300"/>
          <w:jc w:val="center"/>
        </w:trPr>
        <w:tc>
          <w:tcPr>
            <w:tcW w:w="1838" w:type="dxa"/>
            <w:tcBorders>
              <w:top w:val="nil"/>
              <w:left w:val="single" w:sz="4" w:space="0" w:color="auto"/>
              <w:bottom w:val="single" w:sz="4" w:space="0" w:color="auto"/>
              <w:right w:val="single" w:sz="4" w:space="0" w:color="auto"/>
            </w:tcBorders>
            <w:shd w:val="clear" w:color="auto" w:fill="auto"/>
            <w:noWrap/>
            <w:vAlign w:val="bottom"/>
            <w:hideMark/>
          </w:tcPr>
          <w:p w14:paraId="313D9322"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Munsell day</w:t>
            </w:r>
          </w:p>
        </w:tc>
        <w:tc>
          <w:tcPr>
            <w:tcW w:w="6184" w:type="dxa"/>
            <w:tcBorders>
              <w:top w:val="nil"/>
              <w:left w:val="nil"/>
              <w:bottom w:val="single" w:sz="4" w:space="0" w:color="auto"/>
              <w:right w:val="single" w:sz="4" w:space="0" w:color="auto"/>
            </w:tcBorders>
            <w:shd w:val="clear" w:color="auto" w:fill="auto"/>
            <w:noWrap/>
            <w:vAlign w:val="bottom"/>
            <w:hideMark/>
          </w:tcPr>
          <w:p w14:paraId="22425F69" w14:textId="77777777" w:rsidR="00257852" w:rsidRPr="00D72CA6" w:rsidRDefault="00257852" w:rsidP="00257852">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date that the Munsell colour code assignment was made as an integer</w:t>
            </w:r>
          </w:p>
        </w:tc>
        <w:tc>
          <w:tcPr>
            <w:tcW w:w="1471" w:type="dxa"/>
            <w:tcBorders>
              <w:top w:val="nil"/>
              <w:left w:val="nil"/>
              <w:bottom w:val="single" w:sz="4" w:space="0" w:color="auto"/>
              <w:right w:val="single" w:sz="4" w:space="0" w:color="auto"/>
            </w:tcBorders>
            <w:shd w:val="clear" w:color="auto" w:fill="auto"/>
            <w:noWrap/>
            <w:vAlign w:val="bottom"/>
            <w:hideMark/>
          </w:tcPr>
          <w:p w14:paraId="675313BD" w14:textId="77777777" w:rsidR="00257852" w:rsidRPr="00D72CA6" w:rsidRDefault="00257852" w:rsidP="00257852">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bl>
    <w:p w14:paraId="7BD452C0" w14:textId="77777777" w:rsidR="003762BA" w:rsidRPr="00D72CA6" w:rsidRDefault="003762BA">
      <w:pPr>
        <w:rPr>
          <w:rFonts w:ascii="Times New Roman" w:hAnsi="Times New Roman" w:cs="Times New Roman"/>
          <w:sz w:val="24"/>
          <w:szCs w:val="24"/>
        </w:rPr>
      </w:pPr>
    </w:p>
    <w:p w14:paraId="00D4BE3B" w14:textId="22E078D9" w:rsidR="00703CCD" w:rsidRPr="00D72CA6" w:rsidRDefault="00703CCD" w:rsidP="00703CCD">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“Quant_data.csv”:</w:t>
      </w:r>
    </w:p>
    <w:tbl>
      <w:tblPr>
        <w:tblW w:w="9782" w:type="dxa"/>
        <w:tblInd w:w="-289" w:type="dxa"/>
        <w:tblLook w:val="04A0" w:firstRow="1" w:lastRow="0" w:firstColumn="1" w:lastColumn="0" w:noHBand="0" w:noVBand="1"/>
      </w:tblPr>
      <w:tblGrid>
        <w:gridCol w:w="1847"/>
        <w:gridCol w:w="6084"/>
        <w:gridCol w:w="1851"/>
      </w:tblGrid>
      <w:tr w:rsidR="003762BA" w:rsidRPr="00D72CA6" w14:paraId="3489AEE3" w14:textId="77777777" w:rsidTr="003762BA">
        <w:trPr>
          <w:trHeight w:val="300"/>
        </w:trPr>
        <w:tc>
          <w:tcPr>
            <w:tcW w:w="184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FEC012"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6084" w:type="dxa"/>
            <w:tcBorders>
              <w:top w:val="single" w:sz="4" w:space="0" w:color="auto"/>
              <w:left w:val="nil"/>
              <w:bottom w:val="single" w:sz="4" w:space="0" w:color="auto"/>
              <w:right w:val="single" w:sz="4" w:space="0" w:color="auto"/>
            </w:tcBorders>
            <w:shd w:val="clear" w:color="auto" w:fill="auto"/>
            <w:noWrap/>
            <w:vAlign w:val="bottom"/>
            <w:hideMark/>
          </w:tcPr>
          <w:p w14:paraId="081B3CB9"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1851" w:type="dxa"/>
            <w:tcBorders>
              <w:top w:val="single" w:sz="4" w:space="0" w:color="auto"/>
              <w:left w:val="nil"/>
              <w:bottom w:val="single" w:sz="4" w:space="0" w:color="auto"/>
              <w:right w:val="single" w:sz="4" w:space="0" w:color="auto"/>
            </w:tcBorders>
            <w:shd w:val="clear" w:color="auto" w:fill="auto"/>
            <w:noWrap/>
            <w:vAlign w:val="bottom"/>
            <w:hideMark/>
          </w:tcPr>
          <w:p w14:paraId="17F531F1"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3762BA" w:rsidRPr="00D72CA6" w14:paraId="23006D70"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2107071E" w14:textId="69250A9A" w:rsidR="003762BA" w:rsidRPr="00D72CA6" w:rsidRDefault="003D57EB"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6084" w:type="dxa"/>
            <w:tcBorders>
              <w:top w:val="nil"/>
              <w:left w:val="nil"/>
              <w:bottom w:val="single" w:sz="4" w:space="0" w:color="auto"/>
              <w:right w:val="single" w:sz="4" w:space="0" w:color="auto"/>
            </w:tcBorders>
            <w:shd w:val="clear" w:color="auto" w:fill="auto"/>
            <w:noWrap/>
            <w:vAlign w:val="bottom"/>
            <w:hideMark/>
          </w:tcPr>
          <w:p w14:paraId="25A8DCC5"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1851" w:type="dxa"/>
            <w:tcBorders>
              <w:top w:val="nil"/>
              <w:left w:val="nil"/>
              <w:bottom w:val="single" w:sz="4" w:space="0" w:color="auto"/>
              <w:right w:val="single" w:sz="4" w:space="0" w:color="auto"/>
            </w:tcBorders>
            <w:shd w:val="clear" w:color="auto" w:fill="auto"/>
            <w:noWrap/>
            <w:vAlign w:val="bottom"/>
            <w:hideMark/>
          </w:tcPr>
          <w:p w14:paraId="5A2A475C"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3762BA" w:rsidRPr="00D72CA6" w14:paraId="4902076A"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6273336F"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nd_len1</w:t>
            </w:r>
          </w:p>
        </w:tc>
        <w:tc>
          <w:tcPr>
            <w:tcW w:w="6084" w:type="dxa"/>
            <w:tcBorders>
              <w:top w:val="nil"/>
              <w:left w:val="nil"/>
              <w:bottom w:val="single" w:sz="4" w:space="0" w:color="auto"/>
              <w:right w:val="single" w:sz="4" w:space="0" w:color="auto"/>
            </w:tcBorders>
            <w:shd w:val="clear" w:color="auto" w:fill="auto"/>
            <w:noWrap/>
            <w:vAlign w:val="bottom"/>
            <w:hideMark/>
          </w:tcPr>
          <w:p w14:paraId="788909AE"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legnth of a randomly selected needle from tip to node - first replicate</w:t>
            </w:r>
          </w:p>
        </w:tc>
        <w:tc>
          <w:tcPr>
            <w:tcW w:w="1851" w:type="dxa"/>
            <w:tcBorders>
              <w:top w:val="nil"/>
              <w:left w:val="nil"/>
              <w:bottom w:val="single" w:sz="4" w:space="0" w:color="auto"/>
              <w:right w:val="single" w:sz="4" w:space="0" w:color="auto"/>
            </w:tcBorders>
            <w:shd w:val="clear" w:color="auto" w:fill="auto"/>
            <w:noWrap/>
            <w:vAlign w:val="bottom"/>
            <w:hideMark/>
          </w:tcPr>
          <w:p w14:paraId="3C4548AE"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3B497C06"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6DE33CEE"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nd_wid1</w:t>
            </w:r>
          </w:p>
        </w:tc>
        <w:tc>
          <w:tcPr>
            <w:tcW w:w="6084" w:type="dxa"/>
            <w:tcBorders>
              <w:top w:val="nil"/>
              <w:left w:val="nil"/>
              <w:bottom w:val="single" w:sz="4" w:space="0" w:color="auto"/>
              <w:right w:val="single" w:sz="4" w:space="0" w:color="auto"/>
            </w:tcBorders>
            <w:shd w:val="clear" w:color="auto" w:fill="auto"/>
            <w:noWrap/>
            <w:vAlign w:val="bottom"/>
            <w:hideMark/>
          </w:tcPr>
          <w:p w14:paraId="41A564FB"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width of a randomly selected needle across its widest part- first replicate</w:t>
            </w:r>
          </w:p>
        </w:tc>
        <w:tc>
          <w:tcPr>
            <w:tcW w:w="1851" w:type="dxa"/>
            <w:tcBorders>
              <w:top w:val="nil"/>
              <w:left w:val="nil"/>
              <w:bottom w:val="single" w:sz="4" w:space="0" w:color="auto"/>
              <w:right w:val="single" w:sz="4" w:space="0" w:color="auto"/>
            </w:tcBorders>
            <w:shd w:val="clear" w:color="auto" w:fill="auto"/>
            <w:noWrap/>
            <w:vAlign w:val="bottom"/>
            <w:hideMark/>
          </w:tcPr>
          <w:p w14:paraId="011FC808"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5D122692"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0D27D6F6"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nd_len2</w:t>
            </w:r>
          </w:p>
        </w:tc>
        <w:tc>
          <w:tcPr>
            <w:tcW w:w="6084" w:type="dxa"/>
            <w:tcBorders>
              <w:top w:val="nil"/>
              <w:left w:val="nil"/>
              <w:bottom w:val="single" w:sz="4" w:space="0" w:color="auto"/>
              <w:right w:val="single" w:sz="4" w:space="0" w:color="auto"/>
            </w:tcBorders>
            <w:shd w:val="clear" w:color="auto" w:fill="auto"/>
            <w:noWrap/>
            <w:vAlign w:val="bottom"/>
            <w:hideMark/>
          </w:tcPr>
          <w:p w14:paraId="4C6E6612"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legnth of a randomly selected needle from tip to node - second replicate</w:t>
            </w:r>
          </w:p>
        </w:tc>
        <w:tc>
          <w:tcPr>
            <w:tcW w:w="1851" w:type="dxa"/>
            <w:tcBorders>
              <w:top w:val="nil"/>
              <w:left w:val="nil"/>
              <w:bottom w:val="single" w:sz="4" w:space="0" w:color="auto"/>
              <w:right w:val="single" w:sz="4" w:space="0" w:color="auto"/>
            </w:tcBorders>
            <w:shd w:val="clear" w:color="auto" w:fill="auto"/>
            <w:noWrap/>
            <w:vAlign w:val="bottom"/>
            <w:hideMark/>
          </w:tcPr>
          <w:p w14:paraId="424E9E0D"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6400EB38"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1C5EA4AE"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nd_wid2</w:t>
            </w:r>
          </w:p>
        </w:tc>
        <w:tc>
          <w:tcPr>
            <w:tcW w:w="6084" w:type="dxa"/>
            <w:tcBorders>
              <w:top w:val="nil"/>
              <w:left w:val="nil"/>
              <w:bottom w:val="single" w:sz="4" w:space="0" w:color="auto"/>
              <w:right w:val="single" w:sz="4" w:space="0" w:color="auto"/>
            </w:tcBorders>
            <w:shd w:val="clear" w:color="auto" w:fill="auto"/>
            <w:noWrap/>
            <w:vAlign w:val="bottom"/>
            <w:hideMark/>
          </w:tcPr>
          <w:p w14:paraId="75E0616D"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width of a randomly selected needle across its widest part- second replicate</w:t>
            </w:r>
          </w:p>
        </w:tc>
        <w:tc>
          <w:tcPr>
            <w:tcW w:w="1851" w:type="dxa"/>
            <w:tcBorders>
              <w:top w:val="nil"/>
              <w:left w:val="nil"/>
              <w:bottom w:val="single" w:sz="4" w:space="0" w:color="auto"/>
              <w:right w:val="single" w:sz="4" w:space="0" w:color="auto"/>
            </w:tcBorders>
            <w:shd w:val="clear" w:color="auto" w:fill="auto"/>
            <w:noWrap/>
            <w:vAlign w:val="bottom"/>
            <w:hideMark/>
          </w:tcPr>
          <w:p w14:paraId="3C0697F8"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1B267156"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124CB34A"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nd_len3</w:t>
            </w:r>
          </w:p>
        </w:tc>
        <w:tc>
          <w:tcPr>
            <w:tcW w:w="6084" w:type="dxa"/>
            <w:tcBorders>
              <w:top w:val="nil"/>
              <w:left w:val="nil"/>
              <w:bottom w:val="single" w:sz="4" w:space="0" w:color="auto"/>
              <w:right w:val="single" w:sz="4" w:space="0" w:color="auto"/>
            </w:tcBorders>
            <w:shd w:val="clear" w:color="auto" w:fill="auto"/>
            <w:noWrap/>
            <w:vAlign w:val="bottom"/>
            <w:hideMark/>
          </w:tcPr>
          <w:p w14:paraId="2386DF99"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legnth of a randomly selected needle from tip to node - third replicate</w:t>
            </w:r>
          </w:p>
        </w:tc>
        <w:tc>
          <w:tcPr>
            <w:tcW w:w="1851" w:type="dxa"/>
            <w:tcBorders>
              <w:top w:val="nil"/>
              <w:left w:val="nil"/>
              <w:bottom w:val="single" w:sz="4" w:space="0" w:color="auto"/>
              <w:right w:val="single" w:sz="4" w:space="0" w:color="auto"/>
            </w:tcBorders>
            <w:shd w:val="clear" w:color="auto" w:fill="auto"/>
            <w:noWrap/>
            <w:vAlign w:val="bottom"/>
            <w:hideMark/>
          </w:tcPr>
          <w:p w14:paraId="083CAF87"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1C4AD794"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2CD6B8ED"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nd_wid3</w:t>
            </w:r>
          </w:p>
        </w:tc>
        <w:tc>
          <w:tcPr>
            <w:tcW w:w="6084" w:type="dxa"/>
            <w:tcBorders>
              <w:top w:val="nil"/>
              <w:left w:val="nil"/>
              <w:bottom w:val="single" w:sz="4" w:space="0" w:color="auto"/>
              <w:right w:val="single" w:sz="4" w:space="0" w:color="auto"/>
            </w:tcBorders>
            <w:shd w:val="clear" w:color="auto" w:fill="auto"/>
            <w:noWrap/>
            <w:vAlign w:val="bottom"/>
            <w:hideMark/>
          </w:tcPr>
          <w:p w14:paraId="448116EB"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width of a randomly selected needle across its widest part- third replicate</w:t>
            </w:r>
          </w:p>
        </w:tc>
        <w:tc>
          <w:tcPr>
            <w:tcW w:w="1851" w:type="dxa"/>
            <w:tcBorders>
              <w:top w:val="nil"/>
              <w:left w:val="nil"/>
              <w:bottom w:val="single" w:sz="4" w:space="0" w:color="auto"/>
              <w:right w:val="single" w:sz="4" w:space="0" w:color="auto"/>
            </w:tcBorders>
            <w:shd w:val="clear" w:color="auto" w:fill="auto"/>
            <w:noWrap/>
            <w:vAlign w:val="bottom"/>
            <w:hideMark/>
          </w:tcPr>
          <w:p w14:paraId="2758FF67"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(mm)</w:t>
            </w:r>
          </w:p>
        </w:tc>
      </w:tr>
      <w:tr w:rsidR="003762BA" w:rsidRPr="00D72CA6" w14:paraId="12686C9D"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7E3D1557"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St_diam</w:t>
            </w:r>
          </w:p>
        </w:tc>
        <w:tc>
          <w:tcPr>
            <w:tcW w:w="6084" w:type="dxa"/>
            <w:tcBorders>
              <w:top w:val="nil"/>
              <w:left w:val="nil"/>
              <w:bottom w:val="single" w:sz="4" w:space="0" w:color="auto"/>
              <w:right w:val="single" w:sz="4" w:space="0" w:color="auto"/>
            </w:tcBorders>
            <w:shd w:val="clear" w:color="auto" w:fill="auto"/>
            <w:noWrap/>
            <w:vAlign w:val="bottom"/>
            <w:hideMark/>
          </w:tcPr>
          <w:p w14:paraId="08689CE0"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diameter of the main stem as close to the root collar as possible</w:t>
            </w:r>
          </w:p>
        </w:tc>
        <w:tc>
          <w:tcPr>
            <w:tcW w:w="1851" w:type="dxa"/>
            <w:tcBorders>
              <w:top w:val="nil"/>
              <w:left w:val="nil"/>
              <w:bottom w:val="single" w:sz="4" w:space="0" w:color="auto"/>
              <w:right w:val="single" w:sz="4" w:space="0" w:color="auto"/>
            </w:tcBorders>
            <w:shd w:val="clear" w:color="auto" w:fill="auto"/>
            <w:noWrap/>
            <w:vAlign w:val="bottom"/>
            <w:hideMark/>
          </w:tcPr>
          <w:p w14:paraId="3056F100"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(cm)</w:t>
            </w:r>
          </w:p>
        </w:tc>
      </w:tr>
      <w:tr w:rsidR="003762BA" w:rsidRPr="00D72CA6" w14:paraId="15B18CB7"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4B1B6DD2"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St_len</w:t>
            </w:r>
          </w:p>
        </w:tc>
        <w:tc>
          <w:tcPr>
            <w:tcW w:w="6084" w:type="dxa"/>
            <w:tcBorders>
              <w:top w:val="nil"/>
              <w:left w:val="nil"/>
              <w:bottom w:val="single" w:sz="4" w:space="0" w:color="auto"/>
              <w:right w:val="single" w:sz="4" w:space="0" w:color="auto"/>
            </w:tcBorders>
            <w:shd w:val="clear" w:color="auto" w:fill="auto"/>
            <w:noWrap/>
            <w:vAlign w:val="bottom"/>
            <w:hideMark/>
          </w:tcPr>
          <w:p w14:paraId="7650E043"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legnth of the main stem from the ground to the tip</w:t>
            </w:r>
          </w:p>
        </w:tc>
        <w:tc>
          <w:tcPr>
            <w:tcW w:w="1851" w:type="dxa"/>
            <w:tcBorders>
              <w:top w:val="nil"/>
              <w:left w:val="nil"/>
              <w:bottom w:val="single" w:sz="4" w:space="0" w:color="auto"/>
              <w:right w:val="single" w:sz="4" w:space="0" w:color="auto"/>
            </w:tcBorders>
            <w:shd w:val="clear" w:color="auto" w:fill="auto"/>
            <w:noWrap/>
            <w:vAlign w:val="bottom"/>
            <w:hideMark/>
          </w:tcPr>
          <w:p w14:paraId="17B8556A"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(cm)</w:t>
            </w:r>
          </w:p>
        </w:tc>
      </w:tr>
      <w:tr w:rsidR="003762BA" w:rsidRPr="00D72CA6" w14:paraId="3CC9CF71"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57700DB7"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Stem.Measurer</w:t>
            </w:r>
          </w:p>
        </w:tc>
        <w:tc>
          <w:tcPr>
            <w:tcW w:w="6084" w:type="dxa"/>
            <w:tcBorders>
              <w:top w:val="nil"/>
              <w:left w:val="nil"/>
              <w:bottom w:val="single" w:sz="4" w:space="0" w:color="auto"/>
              <w:right w:val="single" w:sz="4" w:space="0" w:color="auto"/>
            </w:tcBorders>
            <w:shd w:val="clear" w:color="auto" w:fill="auto"/>
            <w:noWrap/>
            <w:vAlign w:val="bottom"/>
            <w:hideMark/>
          </w:tcPr>
          <w:p w14:paraId="00CAF908"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Which pair of researchers measured St_diam and St_len</w:t>
            </w:r>
          </w:p>
        </w:tc>
        <w:tc>
          <w:tcPr>
            <w:tcW w:w="1851" w:type="dxa"/>
            <w:tcBorders>
              <w:top w:val="nil"/>
              <w:left w:val="nil"/>
              <w:bottom w:val="single" w:sz="4" w:space="0" w:color="auto"/>
              <w:right w:val="single" w:sz="4" w:space="0" w:color="auto"/>
            </w:tcBorders>
            <w:shd w:val="clear" w:color="auto" w:fill="auto"/>
            <w:noWrap/>
            <w:vAlign w:val="bottom"/>
            <w:hideMark/>
          </w:tcPr>
          <w:p w14:paraId="05C04954"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w:t>
            </w:r>
          </w:p>
        </w:tc>
      </w:tr>
      <w:tr w:rsidR="003762BA" w:rsidRPr="00D72CA6" w14:paraId="3E66DD7B"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252802AB"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Ext</w:t>
            </w:r>
          </w:p>
        </w:tc>
        <w:tc>
          <w:tcPr>
            <w:tcW w:w="6084" w:type="dxa"/>
            <w:tcBorders>
              <w:top w:val="nil"/>
              <w:left w:val="nil"/>
              <w:bottom w:val="single" w:sz="4" w:space="0" w:color="auto"/>
              <w:right w:val="single" w:sz="4" w:space="0" w:color="auto"/>
            </w:tcBorders>
            <w:shd w:val="clear" w:color="auto" w:fill="auto"/>
            <w:noWrap/>
            <w:vAlign w:val="bottom"/>
            <w:hideMark/>
          </w:tcPr>
          <w:p w14:paraId="0AFB21D5"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extension, or seasonal growth, measured from the previous year's internode to the tip of the new growth</w:t>
            </w:r>
          </w:p>
        </w:tc>
        <w:tc>
          <w:tcPr>
            <w:tcW w:w="1851" w:type="dxa"/>
            <w:tcBorders>
              <w:top w:val="nil"/>
              <w:left w:val="nil"/>
              <w:bottom w:val="single" w:sz="4" w:space="0" w:color="auto"/>
              <w:right w:val="single" w:sz="4" w:space="0" w:color="auto"/>
            </w:tcBorders>
            <w:shd w:val="clear" w:color="auto" w:fill="auto"/>
            <w:noWrap/>
            <w:vAlign w:val="bottom"/>
            <w:hideMark/>
          </w:tcPr>
          <w:p w14:paraId="5F4D9556"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(cm)</w:t>
            </w:r>
          </w:p>
        </w:tc>
      </w:tr>
      <w:tr w:rsidR="003762BA" w:rsidRPr="00D72CA6" w14:paraId="05C355E5"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0B4B9E57"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lastRenderedPageBreak/>
              <w:t>Habit</w:t>
            </w:r>
          </w:p>
        </w:tc>
        <w:tc>
          <w:tcPr>
            <w:tcW w:w="6084" w:type="dxa"/>
            <w:tcBorders>
              <w:top w:val="nil"/>
              <w:left w:val="nil"/>
              <w:bottom w:val="single" w:sz="4" w:space="0" w:color="auto"/>
              <w:right w:val="single" w:sz="4" w:space="0" w:color="auto"/>
            </w:tcBorders>
            <w:shd w:val="clear" w:color="auto" w:fill="auto"/>
            <w:noWrap/>
            <w:vAlign w:val="bottom"/>
            <w:hideMark/>
          </w:tcPr>
          <w:p w14:paraId="6F061D3C"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predominant growth habit of the plant. One of: upright (u), prostrate (p) or intermediate (i)</w:t>
            </w:r>
          </w:p>
        </w:tc>
        <w:tc>
          <w:tcPr>
            <w:tcW w:w="1851" w:type="dxa"/>
            <w:tcBorders>
              <w:top w:val="nil"/>
              <w:left w:val="nil"/>
              <w:bottom w:val="single" w:sz="4" w:space="0" w:color="auto"/>
              <w:right w:val="single" w:sz="4" w:space="0" w:color="auto"/>
            </w:tcBorders>
            <w:shd w:val="clear" w:color="auto" w:fill="auto"/>
            <w:noWrap/>
            <w:vAlign w:val="bottom"/>
            <w:hideMark/>
          </w:tcPr>
          <w:p w14:paraId="589C7863"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Text (categorical)</w:t>
            </w:r>
          </w:p>
        </w:tc>
      </w:tr>
      <w:tr w:rsidR="003762BA" w:rsidRPr="00D72CA6" w14:paraId="7583F93F" w14:textId="77777777" w:rsidTr="003762BA">
        <w:trPr>
          <w:trHeight w:val="300"/>
        </w:trPr>
        <w:tc>
          <w:tcPr>
            <w:tcW w:w="1847" w:type="dxa"/>
            <w:tcBorders>
              <w:top w:val="nil"/>
              <w:left w:val="single" w:sz="4" w:space="0" w:color="auto"/>
              <w:bottom w:val="single" w:sz="4" w:space="0" w:color="auto"/>
              <w:right w:val="single" w:sz="4" w:space="0" w:color="auto"/>
            </w:tcBorders>
            <w:shd w:val="clear" w:color="auto" w:fill="auto"/>
            <w:noWrap/>
            <w:vAlign w:val="bottom"/>
            <w:hideMark/>
          </w:tcPr>
          <w:p w14:paraId="31C2E332"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Health</w:t>
            </w:r>
          </w:p>
        </w:tc>
        <w:tc>
          <w:tcPr>
            <w:tcW w:w="6084" w:type="dxa"/>
            <w:tcBorders>
              <w:top w:val="nil"/>
              <w:left w:val="nil"/>
              <w:bottom w:val="single" w:sz="4" w:space="0" w:color="auto"/>
              <w:right w:val="single" w:sz="4" w:space="0" w:color="auto"/>
            </w:tcBorders>
            <w:shd w:val="clear" w:color="auto" w:fill="auto"/>
            <w:noWrap/>
            <w:vAlign w:val="bottom"/>
            <w:hideMark/>
          </w:tcPr>
          <w:p w14:paraId="1C92C710" w14:textId="77777777" w:rsidR="003762BA" w:rsidRPr="00D72CA6" w:rsidRDefault="003762BA" w:rsidP="003762BA">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percentage of live, healthy tissue on the plant, rounded to the nearest 5 or 10</w:t>
            </w:r>
          </w:p>
        </w:tc>
        <w:tc>
          <w:tcPr>
            <w:tcW w:w="1851" w:type="dxa"/>
            <w:tcBorders>
              <w:top w:val="nil"/>
              <w:left w:val="nil"/>
              <w:bottom w:val="single" w:sz="4" w:space="0" w:color="auto"/>
              <w:right w:val="single" w:sz="4" w:space="0" w:color="auto"/>
            </w:tcBorders>
            <w:shd w:val="clear" w:color="auto" w:fill="auto"/>
            <w:noWrap/>
            <w:vAlign w:val="bottom"/>
            <w:hideMark/>
          </w:tcPr>
          <w:p w14:paraId="45EB78BE" w14:textId="77777777" w:rsidR="003762BA" w:rsidRPr="00D72CA6" w:rsidRDefault="003762BA" w:rsidP="003762BA">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 (percentage)</w:t>
            </w:r>
          </w:p>
        </w:tc>
      </w:tr>
    </w:tbl>
    <w:p w14:paraId="3E7B0071" w14:textId="60C2EDC9" w:rsidR="00416F03" w:rsidRPr="00D72CA6" w:rsidRDefault="00416F03">
      <w:pPr>
        <w:rPr>
          <w:rFonts w:ascii="Times New Roman" w:hAnsi="Times New Roman" w:cs="Times New Roman"/>
          <w:sz w:val="24"/>
          <w:szCs w:val="24"/>
        </w:rPr>
      </w:pPr>
    </w:p>
    <w:p w14:paraId="4F8B336C" w14:textId="205A5C1D" w:rsidR="00FB0594" w:rsidRPr="00D72CA6" w:rsidRDefault="00FB0594">
      <w:pPr>
        <w:rPr>
          <w:rFonts w:ascii="Times New Roman" w:hAnsi="Times New Roman" w:cs="Times New Roman"/>
          <w:sz w:val="24"/>
          <w:szCs w:val="24"/>
        </w:rPr>
      </w:pPr>
      <w:r w:rsidRPr="00D72CA6">
        <w:rPr>
          <w:rFonts w:ascii="Times New Roman" w:hAnsi="Times New Roman" w:cs="Times New Roman"/>
          <w:sz w:val="24"/>
          <w:szCs w:val="24"/>
        </w:rPr>
        <w:t>Each of “CF_8.2.24_TS_Av.csv,” “CF_8.3.24_TS_Av.csv” and “CF_12.4.24_TS_Av.csv”</w:t>
      </w:r>
    </w:p>
    <w:tbl>
      <w:tblPr>
        <w:tblW w:w="9776" w:type="dxa"/>
        <w:jc w:val="center"/>
        <w:tblLook w:val="04A0" w:firstRow="1" w:lastRow="0" w:firstColumn="1" w:lastColumn="0" w:noHBand="0" w:noVBand="1"/>
      </w:tblPr>
      <w:tblGrid>
        <w:gridCol w:w="1737"/>
        <w:gridCol w:w="5604"/>
        <w:gridCol w:w="2435"/>
      </w:tblGrid>
      <w:tr w:rsidR="00416F03" w:rsidRPr="00D72CA6" w14:paraId="146A9227" w14:textId="77777777" w:rsidTr="00416F03">
        <w:trPr>
          <w:trHeight w:val="300"/>
          <w:jc w:val="center"/>
        </w:trPr>
        <w:tc>
          <w:tcPr>
            <w:tcW w:w="17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F0E8A2"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Column header</w:t>
            </w:r>
          </w:p>
        </w:tc>
        <w:tc>
          <w:tcPr>
            <w:tcW w:w="5604" w:type="dxa"/>
            <w:tcBorders>
              <w:top w:val="single" w:sz="4" w:space="0" w:color="auto"/>
              <w:left w:val="nil"/>
              <w:bottom w:val="single" w:sz="4" w:space="0" w:color="auto"/>
              <w:right w:val="single" w:sz="4" w:space="0" w:color="auto"/>
            </w:tcBorders>
            <w:shd w:val="clear" w:color="auto" w:fill="auto"/>
            <w:noWrap/>
            <w:vAlign w:val="bottom"/>
            <w:hideMark/>
          </w:tcPr>
          <w:p w14:paraId="0119549D"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Contents</w:t>
            </w:r>
          </w:p>
        </w:tc>
        <w:tc>
          <w:tcPr>
            <w:tcW w:w="2435" w:type="dxa"/>
            <w:tcBorders>
              <w:top w:val="single" w:sz="4" w:space="0" w:color="auto"/>
              <w:left w:val="nil"/>
              <w:bottom w:val="single" w:sz="4" w:space="0" w:color="auto"/>
              <w:right w:val="single" w:sz="4" w:space="0" w:color="auto"/>
            </w:tcBorders>
            <w:shd w:val="clear" w:color="auto" w:fill="auto"/>
            <w:noWrap/>
            <w:vAlign w:val="bottom"/>
            <w:hideMark/>
          </w:tcPr>
          <w:p w14:paraId="43CFC2A2"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Type (units)</w:t>
            </w:r>
          </w:p>
        </w:tc>
      </w:tr>
      <w:tr w:rsidR="00416F03" w:rsidRPr="00D72CA6" w14:paraId="7B35D728" w14:textId="77777777" w:rsidTr="00416F03">
        <w:trPr>
          <w:trHeight w:val="300"/>
          <w:jc w:val="center"/>
        </w:trPr>
        <w:tc>
          <w:tcPr>
            <w:tcW w:w="1737" w:type="dxa"/>
            <w:tcBorders>
              <w:top w:val="nil"/>
              <w:left w:val="single" w:sz="4" w:space="0" w:color="auto"/>
              <w:bottom w:val="single" w:sz="4" w:space="0" w:color="auto"/>
              <w:right w:val="single" w:sz="4" w:space="0" w:color="auto"/>
            </w:tcBorders>
            <w:shd w:val="clear" w:color="auto" w:fill="auto"/>
            <w:noWrap/>
            <w:vAlign w:val="bottom"/>
            <w:hideMark/>
          </w:tcPr>
          <w:p w14:paraId="5775A42E" w14:textId="14FD1699" w:rsidR="00416F03" w:rsidRPr="00D72CA6" w:rsidRDefault="003D57EB"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ID</w:t>
            </w:r>
          </w:p>
        </w:tc>
        <w:tc>
          <w:tcPr>
            <w:tcW w:w="5604" w:type="dxa"/>
            <w:tcBorders>
              <w:top w:val="nil"/>
              <w:left w:val="nil"/>
              <w:bottom w:val="single" w:sz="4" w:space="0" w:color="auto"/>
              <w:right w:val="single" w:sz="4" w:space="0" w:color="auto"/>
            </w:tcBorders>
            <w:shd w:val="clear" w:color="auto" w:fill="auto"/>
            <w:noWrap/>
            <w:vAlign w:val="bottom"/>
            <w:hideMark/>
          </w:tcPr>
          <w:p w14:paraId="57285386"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The unique, numeric identifier of plants in the field</w:t>
            </w:r>
          </w:p>
        </w:tc>
        <w:tc>
          <w:tcPr>
            <w:tcW w:w="2435" w:type="dxa"/>
            <w:tcBorders>
              <w:top w:val="nil"/>
              <w:left w:val="nil"/>
              <w:bottom w:val="single" w:sz="4" w:space="0" w:color="auto"/>
              <w:right w:val="single" w:sz="4" w:space="0" w:color="auto"/>
            </w:tcBorders>
            <w:shd w:val="clear" w:color="auto" w:fill="auto"/>
            <w:noWrap/>
            <w:vAlign w:val="bottom"/>
            <w:hideMark/>
          </w:tcPr>
          <w:p w14:paraId="41191B37"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Numeric-integer</w:t>
            </w:r>
          </w:p>
        </w:tc>
      </w:tr>
      <w:tr w:rsidR="00416F03" w:rsidRPr="00D72CA6" w14:paraId="5F6AD3E9" w14:textId="77777777" w:rsidTr="00416F03">
        <w:trPr>
          <w:trHeight w:val="300"/>
          <w:jc w:val="center"/>
        </w:trPr>
        <w:tc>
          <w:tcPr>
            <w:tcW w:w="1737" w:type="dxa"/>
            <w:tcBorders>
              <w:top w:val="nil"/>
              <w:left w:val="single" w:sz="4" w:space="0" w:color="auto"/>
              <w:bottom w:val="single" w:sz="4" w:space="0" w:color="auto"/>
              <w:right w:val="single" w:sz="4" w:space="0" w:color="auto"/>
            </w:tcBorders>
            <w:shd w:val="clear" w:color="auto" w:fill="auto"/>
            <w:noWrap/>
            <w:vAlign w:val="bottom"/>
            <w:hideMark/>
          </w:tcPr>
          <w:p w14:paraId="5B8C12FD"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X0.00001</w:t>
            </w:r>
          </w:p>
        </w:tc>
        <w:tc>
          <w:tcPr>
            <w:tcW w:w="5604" w:type="dxa"/>
            <w:tcBorders>
              <w:top w:val="nil"/>
              <w:left w:val="nil"/>
              <w:bottom w:val="single" w:sz="4" w:space="0" w:color="auto"/>
              <w:right w:val="single" w:sz="4" w:space="0" w:color="auto"/>
            </w:tcBorders>
            <w:shd w:val="clear" w:color="auto" w:fill="auto"/>
            <w:noWrap/>
            <w:vAlign w:val="bottom"/>
            <w:hideMark/>
          </w:tcPr>
          <w:p w14:paraId="27C15EAF"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Transient fluorescence (Ft) at time point 0.00001 seconds after initiating measuring light</w:t>
            </w:r>
          </w:p>
        </w:tc>
        <w:tc>
          <w:tcPr>
            <w:tcW w:w="2435" w:type="dxa"/>
            <w:tcBorders>
              <w:top w:val="nil"/>
              <w:left w:val="nil"/>
              <w:bottom w:val="single" w:sz="4" w:space="0" w:color="auto"/>
              <w:right w:val="single" w:sz="4" w:space="0" w:color="auto"/>
            </w:tcBorders>
            <w:shd w:val="clear" w:color="auto" w:fill="auto"/>
            <w:noWrap/>
            <w:vAlign w:val="bottom"/>
            <w:hideMark/>
          </w:tcPr>
          <w:p w14:paraId="405A3332"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(arbitrary)</w:t>
            </w:r>
          </w:p>
        </w:tc>
      </w:tr>
      <w:tr w:rsidR="00416F03" w:rsidRPr="00D72CA6" w14:paraId="29F142E8" w14:textId="77777777" w:rsidTr="00416F03">
        <w:trPr>
          <w:trHeight w:val="300"/>
          <w:jc w:val="center"/>
        </w:trPr>
        <w:tc>
          <w:tcPr>
            <w:tcW w:w="1737" w:type="dxa"/>
            <w:tcBorders>
              <w:top w:val="nil"/>
              <w:left w:val="single" w:sz="4" w:space="0" w:color="auto"/>
              <w:bottom w:val="single" w:sz="4" w:space="0" w:color="auto"/>
              <w:right w:val="single" w:sz="4" w:space="0" w:color="auto"/>
            </w:tcBorders>
            <w:shd w:val="clear" w:color="auto" w:fill="auto"/>
            <w:noWrap/>
            <w:vAlign w:val="bottom"/>
            <w:hideMark/>
          </w:tcPr>
          <w:p w14:paraId="20508E2D"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X0.00002</w:t>
            </w:r>
          </w:p>
        </w:tc>
        <w:tc>
          <w:tcPr>
            <w:tcW w:w="5604" w:type="dxa"/>
            <w:tcBorders>
              <w:top w:val="nil"/>
              <w:left w:val="nil"/>
              <w:bottom w:val="single" w:sz="4" w:space="0" w:color="auto"/>
              <w:right w:val="single" w:sz="4" w:space="0" w:color="auto"/>
            </w:tcBorders>
            <w:shd w:val="clear" w:color="auto" w:fill="auto"/>
            <w:noWrap/>
            <w:vAlign w:val="bottom"/>
            <w:hideMark/>
          </w:tcPr>
          <w:p w14:paraId="4D6B29D7"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Transient fluorescence (Ft) at time point 0.00002 seconds after initiating measuring light</w:t>
            </w:r>
          </w:p>
        </w:tc>
        <w:tc>
          <w:tcPr>
            <w:tcW w:w="2435" w:type="dxa"/>
            <w:tcBorders>
              <w:top w:val="nil"/>
              <w:left w:val="nil"/>
              <w:bottom w:val="single" w:sz="4" w:space="0" w:color="auto"/>
              <w:right w:val="single" w:sz="4" w:space="0" w:color="auto"/>
            </w:tcBorders>
            <w:shd w:val="clear" w:color="auto" w:fill="auto"/>
            <w:noWrap/>
            <w:vAlign w:val="bottom"/>
            <w:hideMark/>
          </w:tcPr>
          <w:p w14:paraId="2331009D"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(arbitrary)</w:t>
            </w:r>
          </w:p>
        </w:tc>
      </w:tr>
      <w:tr w:rsidR="00416F03" w:rsidRPr="00D72CA6" w14:paraId="2D0E01FA" w14:textId="77777777" w:rsidTr="00416F03">
        <w:trPr>
          <w:trHeight w:val="300"/>
          <w:jc w:val="center"/>
        </w:trPr>
        <w:tc>
          <w:tcPr>
            <w:tcW w:w="1737" w:type="dxa"/>
            <w:tcBorders>
              <w:top w:val="nil"/>
              <w:left w:val="single" w:sz="4" w:space="0" w:color="auto"/>
              <w:bottom w:val="single" w:sz="4" w:space="0" w:color="auto"/>
              <w:right w:val="single" w:sz="4" w:space="0" w:color="auto"/>
            </w:tcBorders>
            <w:shd w:val="clear" w:color="auto" w:fill="auto"/>
            <w:noWrap/>
            <w:vAlign w:val="bottom"/>
            <w:hideMark/>
          </w:tcPr>
          <w:p w14:paraId="27A076C7"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X0.00003</w:t>
            </w:r>
          </w:p>
        </w:tc>
        <w:tc>
          <w:tcPr>
            <w:tcW w:w="5604" w:type="dxa"/>
            <w:tcBorders>
              <w:top w:val="nil"/>
              <w:left w:val="nil"/>
              <w:bottom w:val="single" w:sz="4" w:space="0" w:color="auto"/>
              <w:right w:val="single" w:sz="4" w:space="0" w:color="auto"/>
            </w:tcBorders>
            <w:shd w:val="clear" w:color="auto" w:fill="auto"/>
            <w:noWrap/>
            <w:vAlign w:val="bottom"/>
            <w:hideMark/>
          </w:tcPr>
          <w:p w14:paraId="51F9887C"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Transient fluorescence (Ft) at time point 0.00003 seconds after initiating measuring light</w:t>
            </w:r>
          </w:p>
        </w:tc>
        <w:tc>
          <w:tcPr>
            <w:tcW w:w="2435" w:type="dxa"/>
            <w:tcBorders>
              <w:top w:val="nil"/>
              <w:left w:val="nil"/>
              <w:bottom w:val="single" w:sz="4" w:space="0" w:color="auto"/>
              <w:right w:val="single" w:sz="4" w:space="0" w:color="auto"/>
            </w:tcBorders>
            <w:shd w:val="clear" w:color="auto" w:fill="auto"/>
            <w:noWrap/>
            <w:vAlign w:val="bottom"/>
            <w:hideMark/>
          </w:tcPr>
          <w:p w14:paraId="6CF5CEDE"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(arbitrary)</w:t>
            </w:r>
          </w:p>
        </w:tc>
      </w:tr>
      <w:tr w:rsidR="00416F03" w:rsidRPr="00D72CA6" w14:paraId="389AF25F" w14:textId="77777777" w:rsidTr="00416F03">
        <w:trPr>
          <w:trHeight w:val="300"/>
          <w:jc w:val="center"/>
        </w:trPr>
        <w:tc>
          <w:tcPr>
            <w:tcW w:w="1737" w:type="dxa"/>
            <w:tcBorders>
              <w:top w:val="nil"/>
              <w:left w:val="single" w:sz="4" w:space="0" w:color="auto"/>
              <w:bottom w:val="single" w:sz="4" w:space="0" w:color="auto"/>
              <w:right w:val="single" w:sz="4" w:space="0" w:color="auto"/>
            </w:tcBorders>
            <w:shd w:val="clear" w:color="auto" w:fill="auto"/>
            <w:noWrap/>
            <w:vAlign w:val="bottom"/>
            <w:hideMark/>
          </w:tcPr>
          <w:p w14:paraId="0D6E99E2"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X0.00004….. X1</w:t>
            </w:r>
          </w:p>
        </w:tc>
        <w:tc>
          <w:tcPr>
            <w:tcW w:w="5604" w:type="dxa"/>
            <w:tcBorders>
              <w:top w:val="nil"/>
              <w:left w:val="nil"/>
              <w:bottom w:val="single" w:sz="4" w:space="0" w:color="auto"/>
              <w:right w:val="single" w:sz="4" w:space="0" w:color="auto"/>
            </w:tcBorders>
            <w:shd w:val="clear" w:color="auto" w:fill="auto"/>
            <w:noWrap/>
            <w:vAlign w:val="bottom"/>
            <w:hideMark/>
          </w:tcPr>
          <w:p w14:paraId="67122035" w14:textId="77777777" w:rsidR="00416F03" w:rsidRPr="00D72CA6" w:rsidRDefault="00416F03" w:rsidP="00416F03">
            <w:pPr>
              <w:spacing w:after="0" w:line="240" w:lineRule="auto"/>
              <w:jc w:val="center"/>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Transient fluorescence (Ft) at each of 115 time points after initiating measuring light</w:t>
            </w:r>
          </w:p>
        </w:tc>
        <w:tc>
          <w:tcPr>
            <w:tcW w:w="2435" w:type="dxa"/>
            <w:tcBorders>
              <w:top w:val="nil"/>
              <w:left w:val="nil"/>
              <w:bottom w:val="single" w:sz="4" w:space="0" w:color="auto"/>
              <w:right w:val="single" w:sz="4" w:space="0" w:color="auto"/>
            </w:tcBorders>
            <w:shd w:val="clear" w:color="auto" w:fill="auto"/>
            <w:noWrap/>
            <w:vAlign w:val="bottom"/>
            <w:hideMark/>
          </w:tcPr>
          <w:p w14:paraId="3D6A786E" w14:textId="77777777" w:rsidR="00416F03" w:rsidRPr="00D72CA6" w:rsidRDefault="00416F03" w:rsidP="00416F03">
            <w:pPr>
              <w:spacing w:after="0" w:line="240" w:lineRule="auto"/>
              <w:rPr>
                <w:rFonts w:ascii="Times New Roman" w:eastAsia="Times New Roman" w:hAnsi="Times New Roman" w:cs="Times New Roman"/>
                <w:color w:val="000000"/>
                <w:kern w:val="0"/>
                <w:sz w:val="24"/>
                <w:szCs w:val="24"/>
                <w:lang w:eastAsia="en-GB"/>
                <w14:ligatures w14:val="none"/>
              </w:rPr>
            </w:pPr>
            <w:r w:rsidRPr="00D72CA6">
              <w:rPr>
                <w:rFonts w:ascii="Times New Roman" w:eastAsia="Times New Roman" w:hAnsi="Times New Roman" w:cs="Times New Roman"/>
                <w:color w:val="000000"/>
                <w:kern w:val="0"/>
                <w:sz w:val="24"/>
                <w:szCs w:val="24"/>
                <w:lang w:eastAsia="en-GB"/>
                <w14:ligatures w14:val="none"/>
              </w:rPr>
              <w:t>Numeric-continuous (arbitrary)</w:t>
            </w:r>
          </w:p>
        </w:tc>
      </w:tr>
    </w:tbl>
    <w:p w14:paraId="3A50688B" w14:textId="77777777" w:rsidR="00AB38F8" w:rsidRDefault="00AB38F8">
      <w:pPr>
        <w:rPr>
          <w:rFonts w:ascii="Times New Roman" w:hAnsi="Times New Roman" w:cs="Times New Roman"/>
          <w:sz w:val="24"/>
          <w:szCs w:val="24"/>
        </w:rPr>
      </w:pPr>
    </w:p>
    <w:p w14:paraId="32C901CA" w14:textId="7C40F927" w:rsidR="00AB38F8" w:rsidRPr="007323F9" w:rsidRDefault="007323F9">
      <w:pPr>
        <w:rPr>
          <w:rFonts w:ascii="Times New Roman" w:hAnsi="Times New Roman" w:cs="Times New Roman"/>
          <w:sz w:val="24"/>
          <w:szCs w:val="24"/>
        </w:rPr>
      </w:pPr>
      <w:r>
        <w:rPr>
          <w:rFonts w:ascii="Times New Roman" w:hAnsi="Times New Roman" w:cs="Times New Roman"/>
          <w:b/>
          <w:bCs/>
          <w:sz w:val="24"/>
          <w:szCs w:val="24"/>
        </w:rPr>
        <w:t>Methods</w:t>
      </w:r>
      <w:r>
        <w:rPr>
          <w:rFonts w:ascii="Times New Roman" w:hAnsi="Times New Roman" w:cs="Times New Roman"/>
          <w:sz w:val="24"/>
          <w:szCs w:val="24"/>
        </w:rPr>
        <w:t xml:space="preserve">: </w:t>
      </w:r>
    </w:p>
    <w:p w14:paraId="3130AE4D" w14:textId="77777777" w:rsidR="00EF5EE1" w:rsidRPr="004D4F2F" w:rsidRDefault="00EF5EE1" w:rsidP="00EF5EE1">
      <w:pPr>
        <w:pStyle w:val="Heading2"/>
        <w:numPr>
          <w:ilvl w:val="1"/>
          <w:numId w:val="0"/>
        </w:numPr>
        <w:spacing w:line="276" w:lineRule="auto"/>
        <w:ind w:left="283"/>
        <w:rPr>
          <w:rFonts w:ascii="Arial" w:hAnsi="Arial" w:cs="Arial"/>
          <w:b/>
          <w:bCs/>
          <w:sz w:val="24"/>
          <w:szCs w:val="24"/>
        </w:rPr>
      </w:pPr>
      <w:bookmarkStart w:id="5" w:name="_Toc212797434"/>
      <w:r w:rsidRPr="004D4F2F">
        <w:rPr>
          <w:rFonts w:ascii="Arial" w:hAnsi="Arial" w:cs="Arial"/>
          <w:b/>
          <w:bCs/>
          <w:sz w:val="24"/>
          <w:szCs w:val="24"/>
        </w:rPr>
        <w:t>Methods:</w:t>
      </w:r>
      <w:bookmarkEnd w:id="5"/>
    </w:p>
    <w:p w14:paraId="339B7CF7" w14:textId="77777777" w:rsidR="00EF5EE1" w:rsidRPr="004D4F2F" w:rsidRDefault="00EF5EE1" w:rsidP="00EF5EE1">
      <w:pPr>
        <w:spacing w:line="276" w:lineRule="auto"/>
        <w:rPr>
          <w:rFonts w:ascii="Arial" w:hAnsi="Arial" w:cs="Arial"/>
          <w:i/>
          <w:iCs/>
          <w:sz w:val="24"/>
          <w:szCs w:val="24"/>
        </w:rPr>
      </w:pPr>
      <w:r w:rsidRPr="004D4F2F">
        <w:rPr>
          <w:rFonts w:ascii="Arial" w:hAnsi="Arial" w:cs="Arial"/>
          <w:i/>
          <w:iCs/>
          <w:sz w:val="24"/>
          <w:szCs w:val="24"/>
        </w:rPr>
        <w:t>Plant material:</w:t>
      </w:r>
    </w:p>
    <w:p w14:paraId="6F15E406" w14:textId="1389C0BC"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We collected, germinated, and potted seeds for this common garden field trial using the methods described by Baker et al. (2025) between 2014 and 2015. Seed trait and germination data for all plants raised in these chapters are available through the Environmental Information Data Centre (EIDC) </w:t>
      </w:r>
      <w:r w:rsidRPr="004D4F2F">
        <w:rPr>
          <w:rFonts w:ascii="Arial" w:hAnsi="Arial" w:cs="Arial"/>
          <w:sz w:val="24"/>
          <w:szCs w:val="24"/>
        </w:rPr>
        <w:fldChar w:fldCharType="begin"/>
      </w:r>
      <w:r>
        <w:rPr>
          <w:rFonts w:ascii="Arial" w:hAnsi="Arial" w:cs="Arial"/>
          <w:sz w:val="24"/>
          <w:szCs w:val="24"/>
        </w:rPr>
        <w:instrText xml:space="preserve"> ADDIN EN.CITE &lt;EndNote&gt;&lt;Cite&gt;&lt;Author&gt;Baker&lt;/Author&gt;&lt;Year&gt;2024&lt;/Year&gt;&lt;RecNum&gt;214&lt;/RecNum&gt;&lt;DisplayText&gt;(Baker et al., 2024)&lt;/DisplayText&gt;&lt;record&gt;&lt;rec-number&gt;214&lt;/rec-number&gt;&lt;foreign-keys&gt;&lt;key app="EN" db-id="pfzs2ar9rdw9daedvs5pzfpc5tttrr9d0rps" timestamp="1725540079"&gt;214&lt;/key&gt;&lt;/foreign-keys&gt;&lt;ref-type name="Dataset"&gt;59&lt;/ref-type&gt;&lt;contributors&gt;&lt;authors&gt;&lt;author&gt;Baker, J.&lt;/author&gt;&lt;author&gt;Perry, A.&lt;/author&gt;&lt;author&gt;Cottrell, J.&lt;/author&gt;&lt;author&gt;Ennos, R.&lt;/author&gt;&lt;author&gt;Green, S.&lt;/author&gt;&lt;author&gt;James, E.&lt;/author&gt;&lt;author&gt;Cavers, S.&lt;/author&gt;&lt;/authors&gt;&lt;/contributors&gt;&lt;titles&gt;&lt;title&gt;Germination rates, seed and berry data of juniper trees from UK populations under a warm-cool stratification glasshouse experiment&lt;/title&gt;&lt;/titles&gt;&lt;dates&gt;&lt;year&gt;2024&lt;/year&gt;&lt;/dates&gt;&lt;publisher&gt;NERC EDS Environmental Information Data Centre&lt;/publisher&gt;&lt;urls&gt;&lt;related-urls&gt;&lt;url&gt;https://doi.org/10.5285/f61dcdcc-b838-4bfa-8d94-7820114a68c8&lt;/url&gt;&lt;/related-urls&gt;&lt;/urls&gt;&lt;/record&gt;&lt;/Cite&gt;&lt;/EndNote&gt;</w:instrText>
      </w:r>
      <w:r w:rsidRPr="004D4F2F">
        <w:rPr>
          <w:rFonts w:ascii="Arial" w:hAnsi="Arial" w:cs="Arial"/>
          <w:sz w:val="24"/>
          <w:szCs w:val="24"/>
        </w:rPr>
        <w:fldChar w:fldCharType="separate"/>
      </w:r>
      <w:r w:rsidRPr="00EF5EE1">
        <w:rPr>
          <w:rFonts w:ascii="Arial" w:hAnsi="Arial" w:cs="Arial"/>
          <w:noProof/>
          <w:szCs w:val="24"/>
        </w:rPr>
        <w:t>(Baker et al., 2024)</w:t>
      </w:r>
      <w:r w:rsidRPr="004D4F2F">
        <w:rPr>
          <w:rFonts w:ascii="Arial" w:hAnsi="Arial" w:cs="Arial"/>
          <w:sz w:val="24"/>
          <w:szCs w:val="24"/>
        </w:rPr>
        <w:fldChar w:fldCharType="end"/>
      </w:r>
      <w:r w:rsidRPr="004D4F2F">
        <w:rPr>
          <w:rFonts w:ascii="Arial" w:hAnsi="Arial" w:cs="Arial"/>
          <w:sz w:val="24"/>
          <w:szCs w:val="24"/>
        </w:rPr>
        <w:t>.</w:t>
      </w:r>
    </w:p>
    <w:p w14:paraId="35D9A148" w14:textId="09D247A1"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A total of 935 juniper seedlings were initially grown in a glasshouse across 12 randomized complete blocks. These seedlings were propagated from 89 maternal seed lots representing 16 natural juniper populations across Scotland, the Lake District, and southern England (Table 1; Figure 1). Low germination rates and variability in seedling emergence –especially for seeds from southern English populations </w:t>
      </w:r>
      <w:r w:rsidRPr="004D4F2F">
        <w:rPr>
          <w:rFonts w:ascii="Arial" w:hAnsi="Arial" w:cs="Arial"/>
          <w:sz w:val="24"/>
          <w:szCs w:val="24"/>
        </w:rPr>
        <w:fldChar w:fldCharType="begin"/>
      </w:r>
      <w:r>
        <w:rPr>
          <w:rFonts w:ascii="Arial" w:hAnsi="Arial" w:cs="Arial"/>
          <w:sz w:val="24"/>
          <w:szCs w:val="24"/>
        </w:rPr>
        <w:instrText xml:space="preserve"> ADDIN EN.CITE &lt;EndNote&gt;&lt;Cite&gt;&lt;Author&gt;Baker&lt;/Author&gt;&lt;Year&gt;2024&lt;/Year&gt;&lt;RecNum&gt;214&lt;/RecNum&gt;&lt;DisplayText&gt;(Baker et al., 2024)&lt;/DisplayText&gt;&lt;record&gt;&lt;rec-number&gt;214&lt;/rec-number&gt;&lt;foreign-keys&gt;&lt;key app="EN" db-id="pfzs2ar9rdw9daedvs5pzfpc5tttrr9d0rps" timestamp="1725540079"&gt;214&lt;/key&gt;&lt;/foreign-keys&gt;&lt;ref-type name="Dataset"&gt;59&lt;/ref-type&gt;&lt;contributors&gt;&lt;authors&gt;&lt;author&gt;Baker, J.&lt;/author&gt;&lt;author&gt;Perry, A.&lt;/author&gt;&lt;author&gt;Cottrell, J.&lt;/author&gt;&lt;author&gt;Ennos, R.&lt;/author&gt;&lt;author&gt;Green, S.&lt;/author&gt;&lt;author&gt;James, E.&lt;/author&gt;&lt;author&gt;Cavers, S.&lt;/author&gt;&lt;/authors&gt;&lt;/contributors&gt;&lt;titles&gt;&lt;title&gt;Germination rates, seed and berry data of juniper trees from UK populations under a warm-cool stratification glasshouse experiment&lt;/title&gt;&lt;/titles&gt;&lt;dates&gt;&lt;year&gt;2024&lt;/year&gt;&lt;/dates&gt;&lt;publisher&gt;NERC EDS Environmental Information Data Centre&lt;/publisher&gt;&lt;urls&gt;&lt;related-urls&gt;&lt;url&gt;https://doi.org/10.5285/f61dcdcc-b838-4bfa-8d94-7820114a68c8&lt;/url&gt;&lt;/related-urls&gt;&lt;/urls&gt;&lt;/record&gt;&lt;/Cite&gt;&lt;/EndNote&gt;</w:instrText>
      </w:r>
      <w:r w:rsidRPr="004D4F2F">
        <w:rPr>
          <w:rFonts w:ascii="Arial" w:hAnsi="Arial" w:cs="Arial"/>
          <w:sz w:val="24"/>
          <w:szCs w:val="24"/>
        </w:rPr>
        <w:fldChar w:fldCharType="separate"/>
      </w:r>
      <w:r w:rsidRPr="00EF5EE1">
        <w:rPr>
          <w:rFonts w:ascii="Arial" w:hAnsi="Arial" w:cs="Arial"/>
          <w:noProof/>
          <w:szCs w:val="24"/>
        </w:rPr>
        <w:t>(Baker et al., 2024)</w:t>
      </w:r>
      <w:r w:rsidRPr="004D4F2F">
        <w:rPr>
          <w:rFonts w:ascii="Arial" w:hAnsi="Arial" w:cs="Arial"/>
          <w:sz w:val="24"/>
          <w:szCs w:val="24"/>
        </w:rPr>
        <w:fldChar w:fldCharType="end"/>
      </w:r>
      <w:r w:rsidRPr="004D4F2F">
        <w:rPr>
          <w:rFonts w:ascii="Arial" w:hAnsi="Arial" w:cs="Arial"/>
          <w:sz w:val="24"/>
          <w:szCs w:val="24"/>
        </w:rPr>
        <w:t xml:space="preserve"> – limited the plant material available for this trial. As we did not achieve sufficient germination across all families to create the initial 12 glasshouse blocks that were originally planned the following strategy was adopted to create blocks 1 to 12 which were in descending order of completeness. The most complete blocks (blocks 1-6) were planted out in the field. </w:t>
      </w:r>
    </w:p>
    <w:p w14:paraId="790D1E98" w14:textId="350A88AB"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As seedlings emerged, we assigned them sequentially to one of 12 glasshouse blocks: when the first seedling to emerge for each maternal seedlot was several weeks old it was repotted from the seedling tray and potted individually, following the methods in </w:t>
      </w:r>
      <w:r w:rsidRPr="004D4F2F">
        <w:rPr>
          <w:rFonts w:ascii="Arial" w:hAnsi="Arial" w:cs="Arial"/>
          <w:sz w:val="24"/>
          <w:szCs w:val="24"/>
        </w:rPr>
        <w:fldChar w:fldCharType="begin"/>
      </w:r>
      <w:r>
        <w:rPr>
          <w:rFonts w:ascii="Arial" w:hAnsi="Arial" w:cs="Arial"/>
          <w:sz w:val="24"/>
          <w:szCs w:val="24"/>
        </w:rPr>
        <w:instrText xml:space="preserve"> ADDIN EN.CITE &lt;EndNote&gt;&lt;Cite AuthorYear="1"&gt;&lt;Author&gt;Baker&lt;/Author&gt;&lt;Year&gt;2025&lt;/Year&gt;&lt;RecNum&gt;326&lt;/RecNum&gt;&lt;DisplayText&gt;Baker et al. (2025)&lt;/DisplayText&gt;&lt;record&gt;&lt;rec-number&gt;326&lt;/rec-number&gt;&lt;foreign-keys&gt;&lt;key app="EN" db-id="pfzs2ar9rdw9daedvs5pzfpc5tttrr9d0rps" timestamp="1754991763"&gt;326&lt;/key&gt;&lt;/foreign-keys&gt;&lt;ref-type name="Journal Article"&gt;17&lt;/ref-type&gt;&lt;contributors&gt;&lt;authors&gt;&lt;author&gt;Baker, J.&lt;/author&gt;&lt;author&gt;Cottrell, J.&lt;/author&gt;&lt;author&gt;Ennos, R.&lt;/author&gt;&lt;author&gt;Perry, A.&lt;/author&gt;&lt;author&gt;Green, S.&lt;/author&gt;&lt;author&gt;Cavers, S.&lt;/author&gt;&lt;/authors&gt;&lt;/contributors&gt;&lt;titles&gt;&lt;title&gt;Local Genetic Adaptations Among Remnant Populations of British Common Juniper, &amp;lt;scp&amp;gt;Juniperus communis&amp;lt;/scp&amp;gt;, Indicated by a Common Garden Trial&lt;/title&gt;&lt;secondary-title&gt;Ecology and Evolution&lt;/secondary-title&gt;&lt;/titles&gt;&lt;periodical&gt;&lt;full-title&gt;Ecology and Evolution&lt;/full-title&gt;&lt;/periodical&gt;&lt;volume&gt;15&lt;/volume&gt;&lt;number&gt;3&lt;/number&gt;&lt;dates&gt;&lt;year&gt;2025&lt;/year&gt;&lt;/dates&gt;&lt;publisher&gt;Wiley&lt;/publisher&gt;&lt;isbn&gt;2045-7758&lt;/isbn&gt;&lt;urls&gt;&lt;related-urls&gt;&lt;url&gt;https://dx.doi.org/10.1002/ece3.71049&lt;/url&gt;&lt;/related-urls&gt;&lt;/urls&gt;&lt;electronic-resource-num&gt;10.1002/ece3.71049&lt;/electronic-resource-num&gt;&lt;/record&gt;&lt;/Cite&gt;&lt;/EndNote&gt;</w:instrText>
      </w:r>
      <w:r w:rsidRPr="004D4F2F">
        <w:rPr>
          <w:rFonts w:ascii="Arial" w:hAnsi="Arial" w:cs="Arial"/>
          <w:sz w:val="24"/>
          <w:szCs w:val="24"/>
        </w:rPr>
        <w:fldChar w:fldCharType="separate"/>
      </w:r>
      <w:r w:rsidRPr="00EF5EE1">
        <w:rPr>
          <w:rFonts w:ascii="Arial" w:hAnsi="Arial" w:cs="Arial"/>
          <w:noProof/>
          <w:szCs w:val="24"/>
        </w:rPr>
        <w:t>Baker et al. (2025)</w:t>
      </w:r>
      <w:r w:rsidRPr="004D4F2F">
        <w:rPr>
          <w:rFonts w:ascii="Arial" w:hAnsi="Arial" w:cs="Arial"/>
          <w:sz w:val="24"/>
          <w:szCs w:val="24"/>
        </w:rPr>
        <w:fldChar w:fldCharType="end"/>
      </w:r>
      <w:r w:rsidRPr="004D4F2F">
        <w:rPr>
          <w:rFonts w:ascii="Arial" w:hAnsi="Arial" w:cs="Arial"/>
          <w:sz w:val="24"/>
          <w:szCs w:val="24"/>
        </w:rPr>
        <w:t xml:space="preserve">, and placed in Block 1; the second from that seedlot was potted and went to Block 2, and so forth. This method ensured that each family’s representation across blocks reflected its germination success. Therefore, the number of families per population varied from one (PD and FK) to 11 </w:t>
      </w:r>
      <w:r w:rsidRPr="004D4F2F">
        <w:rPr>
          <w:rFonts w:ascii="Arial" w:hAnsi="Arial" w:cs="Arial"/>
          <w:sz w:val="24"/>
          <w:szCs w:val="24"/>
        </w:rPr>
        <w:lastRenderedPageBreak/>
        <w:t>(TF), with an average of 5.5 (Table 1), and the number of plants that represent each family varied from three (GA103 and PD9) to 16 (GA123 and WW2) with an average of 6.0. Since seedling emerge occurred sporadically between October 2016 (1), February 2017 (2), October 2017 (3) and August 2018 (4), seedlings were also assigned to an “age class” between 1 (oldest) and 4 (youngest).</w:t>
      </w:r>
    </w:p>
    <w:p w14:paraId="075BAC73"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Finally, between potting up (2015–2016) and transplanting in the field site (2022), 44 plants died in the glasshouse. We replaced these trees in the field trial with “gap” trees—randomly selected from the remaining plants and planted in the vacant positions to minimize edge effects. We excluded gap trees from subsequent analyses. </w:t>
      </w:r>
    </w:p>
    <w:p w14:paraId="70D3E1AD" w14:textId="77777777" w:rsidR="00EF5EE1" w:rsidRPr="004D4F2F" w:rsidRDefault="00EF5EE1" w:rsidP="00EF5EE1">
      <w:pPr>
        <w:spacing w:line="276" w:lineRule="auto"/>
        <w:rPr>
          <w:rFonts w:ascii="Arial" w:hAnsi="Arial" w:cs="Arial"/>
          <w:sz w:val="24"/>
          <w:szCs w:val="24"/>
        </w:rPr>
      </w:pPr>
      <w:r w:rsidRPr="004D4F2F">
        <w:rPr>
          <w:rFonts w:ascii="Arial" w:hAnsi="Arial" w:cs="Arial"/>
          <w:i/>
          <w:iCs/>
          <w:sz w:val="24"/>
          <w:szCs w:val="24"/>
        </w:rPr>
        <w:t>Field site description:</w:t>
      </w:r>
    </w:p>
    <w:p w14:paraId="0B85A2B6"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The selected juniper trees were transplanted to the field site in August 2022. The common garden trial is in a seminatural research site owned by Forestry and Land Scotland and managed by Forest Research. The site occupies a west-south-west facing hillside at approximately 350 metres of elevation. Grazing is controlled by deer fencing and culls. Despite these preventative measures, six plants showed severe grazing damage at some point during assessment dates and were excluded from all analyses. The vegetation at the common garden trial location is dominated by grasses and sedges, but also has some tree regeneration from nearby conifer plantations and other experimental plots, particularly along road verges. European larch (</w:t>
      </w:r>
      <w:r w:rsidRPr="004D4F2F">
        <w:rPr>
          <w:rFonts w:ascii="Arial" w:hAnsi="Arial" w:cs="Arial"/>
          <w:i/>
          <w:iCs/>
          <w:sz w:val="24"/>
          <w:szCs w:val="24"/>
        </w:rPr>
        <w:t>Larix decidua</w:t>
      </w:r>
      <w:r w:rsidRPr="004D4F2F">
        <w:rPr>
          <w:rFonts w:ascii="Arial" w:hAnsi="Arial" w:cs="Arial"/>
          <w:sz w:val="24"/>
          <w:szCs w:val="24"/>
        </w:rPr>
        <w:t>), Sitka spruce (</w:t>
      </w:r>
      <w:r w:rsidRPr="004D4F2F">
        <w:rPr>
          <w:rFonts w:ascii="Arial" w:hAnsi="Arial" w:cs="Arial"/>
          <w:i/>
          <w:iCs/>
          <w:sz w:val="24"/>
          <w:szCs w:val="24"/>
        </w:rPr>
        <w:t>Picea sitchensis</w:t>
      </w:r>
      <w:r w:rsidRPr="004D4F2F">
        <w:rPr>
          <w:rFonts w:ascii="Arial" w:hAnsi="Arial" w:cs="Arial"/>
          <w:sz w:val="24"/>
          <w:szCs w:val="24"/>
        </w:rPr>
        <w:t>) and rowan (</w:t>
      </w:r>
      <w:r w:rsidRPr="004D4F2F">
        <w:rPr>
          <w:rFonts w:ascii="Arial" w:hAnsi="Arial" w:cs="Arial"/>
          <w:i/>
          <w:iCs/>
          <w:sz w:val="24"/>
          <w:szCs w:val="24"/>
        </w:rPr>
        <w:t>Sorbus aucuparia</w:t>
      </w:r>
      <w:r w:rsidRPr="004D4F2F">
        <w:rPr>
          <w:rFonts w:ascii="Arial" w:hAnsi="Arial" w:cs="Arial"/>
          <w:sz w:val="24"/>
          <w:szCs w:val="24"/>
        </w:rPr>
        <w:t xml:space="preserve">) seedlings or saplings have all been noted in the plot. No juniper regeneration has been observed at the trial, likely owing to the facts that there are no conspecifics nearby and that junipers can take between 6-10 years to reach reproductive maturity </w:t>
      </w:r>
      <w:r w:rsidRPr="004D4F2F">
        <w:rPr>
          <w:rFonts w:ascii="Arial" w:hAnsi="Arial" w:cs="Arial"/>
          <w:sz w:val="24"/>
          <w:szCs w:val="24"/>
        </w:rPr>
        <w:fldChar w:fldCharType="begin"/>
      </w:r>
      <w:r w:rsidRPr="004D4F2F">
        <w:rPr>
          <w:rFonts w:ascii="Arial" w:hAnsi="Arial" w:cs="Arial"/>
          <w:sz w:val="24"/>
          <w:szCs w:val="24"/>
        </w:rPr>
        <w:instrText xml:space="preserve"> ADDIN EN.CITE &lt;EndNote&gt;&lt;Cite&gt;&lt;Author&gt;Thomas&lt;/Author&gt;&lt;Year&gt;2007&lt;/Year&gt;&lt;RecNum&gt;48&lt;/RecNum&gt;&lt;DisplayText&gt;(Thomas et al., 2007)&lt;/DisplayText&gt;&lt;record&gt;&lt;rec-number&gt;48&lt;/rec-number&gt;&lt;foreign-keys&gt;&lt;key app="EN" db-id="pfzs2ar9rdw9daedvs5pzfpc5tttrr9d0rps" timestamp="1701354438"&gt;48&lt;/key&gt;&lt;/foreign-keys&gt;&lt;ref-type name="Journal Article"&gt;17&lt;/ref-type&gt;&lt;contributors&gt;&lt;authors&gt;&lt;author&gt;Thomas, P. A.&lt;/author&gt;&lt;author&gt;El-Barghathi, M.&lt;/author&gt;&lt;author&gt;Polwart, A.&lt;/author&gt;&lt;/authors&gt;&lt;/contributors&gt;&lt;titles&gt;&lt;title&gt;Biological Flora of the British Isles: Juniperus communis L&lt;/title&gt;&lt;secondary-title&gt;Journal of Ecology&lt;/secondary-title&gt;&lt;/titles&gt;&lt;periodical&gt;&lt;full-title&gt;Journal of Ecology&lt;/full-title&gt;&lt;/periodical&gt;&lt;pages&gt;1404-1440&lt;/pages&gt;&lt;volume&gt;95&lt;/volume&gt;&lt;number&gt;6&lt;/number&gt;&lt;dates&gt;&lt;year&gt;2007&lt;/year&gt;&lt;/dates&gt;&lt;urls&gt;&lt;related-urls&gt;&lt;url&gt;http://doi.wiley.com/10.1111/j.1365-2745.2007.01308.x&lt;/url&gt;&lt;/related-urls&gt;&lt;/urls&gt;&lt;electronic-resource-num&gt;10.1111/j.1365-2745.2007.01308.x&lt;/electronic-resource-num&gt;&lt;/record&gt;&lt;/Cite&gt;&lt;/EndNote&gt;</w:instrText>
      </w:r>
      <w:r w:rsidRPr="004D4F2F">
        <w:rPr>
          <w:rFonts w:ascii="Arial" w:hAnsi="Arial" w:cs="Arial"/>
          <w:sz w:val="24"/>
          <w:szCs w:val="24"/>
        </w:rPr>
        <w:fldChar w:fldCharType="separate"/>
      </w:r>
      <w:r w:rsidRPr="004D4F2F">
        <w:rPr>
          <w:rFonts w:ascii="Arial" w:hAnsi="Arial" w:cs="Arial"/>
          <w:noProof/>
          <w:sz w:val="24"/>
          <w:szCs w:val="24"/>
        </w:rPr>
        <w:t>(Thomas et al., 2007)</w:t>
      </w:r>
      <w:r w:rsidRPr="004D4F2F">
        <w:rPr>
          <w:rFonts w:ascii="Arial" w:hAnsi="Arial" w:cs="Arial"/>
          <w:sz w:val="24"/>
          <w:szCs w:val="24"/>
        </w:rPr>
        <w:fldChar w:fldCharType="end"/>
      </w:r>
      <w:r w:rsidRPr="004D4F2F">
        <w:rPr>
          <w:rFonts w:ascii="Arial" w:hAnsi="Arial" w:cs="Arial"/>
          <w:sz w:val="24"/>
          <w:szCs w:val="24"/>
        </w:rPr>
        <w:t xml:space="preserve">. </w:t>
      </w:r>
    </w:p>
    <w:p w14:paraId="20BFD325"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The field planting used a randomized complete block design. Six blocks, containing 90 plants each, were laid out in a 2x3 grid, with two cross-slope rows of three blocks each (Table 2). In other words, the plot has 30 columns running upslope and 18 rows running cross-slope. Each of these columns contains nine plants from two randomized blocks. The junipers were planted 2 meters apart in both upslope and cross-slope directions, and trees were labelled with plastic tree tags with only numeric identifiers (1-540). </w:t>
      </w:r>
    </w:p>
    <w:p w14:paraId="7A1400AA" w14:textId="77777777" w:rsidR="00EF5EE1" w:rsidRPr="004D4F2F" w:rsidRDefault="00EF5EE1" w:rsidP="00EF5EE1">
      <w:pPr>
        <w:spacing w:line="276" w:lineRule="auto"/>
        <w:rPr>
          <w:rFonts w:ascii="Arial" w:hAnsi="Arial" w:cs="Arial"/>
          <w:i/>
          <w:iCs/>
          <w:sz w:val="24"/>
          <w:szCs w:val="24"/>
        </w:rPr>
      </w:pPr>
      <w:r w:rsidRPr="004D4F2F">
        <w:rPr>
          <w:rFonts w:ascii="Arial" w:hAnsi="Arial" w:cs="Arial"/>
          <w:i/>
          <w:iCs/>
          <w:sz w:val="24"/>
          <w:szCs w:val="24"/>
        </w:rPr>
        <w:t xml:space="preserve">Data recording: </w:t>
      </w:r>
    </w:p>
    <w:p w14:paraId="6C6A6BDF"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Data were recorded from April 2022 –2025 (Table 3). In addition to quantitative and phenological measurements, any plants with identifiable strobili or berries, dead plants, those with many dying branch tips or those with visible stem damage, (particularly bark stripping, which is indicative of predation) were noted.</w:t>
      </w:r>
    </w:p>
    <w:p w14:paraId="49B93C6D" w14:textId="77777777" w:rsidR="00EF5EE1" w:rsidRPr="004D4F2F" w:rsidRDefault="00EF5EE1" w:rsidP="00EF5EE1">
      <w:pPr>
        <w:spacing w:line="276" w:lineRule="auto"/>
        <w:rPr>
          <w:rFonts w:ascii="Arial" w:hAnsi="Arial" w:cs="Arial"/>
          <w:sz w:val="24"/>
          <w:szCs w:val="24"/>
        </w:rPr>
        <w:sectPr w:rsidR="00EF5EE1" w:rsidRPr="004D4F2F" w:rsidSect="00050E2E">
          <w:footerReference w:type="default" r:id="rId9"/>
          <w:pgSz w:w="11907" w:h="16840" w:code="9"/>
          <w:pgMar w:top="1440" w:right="1440" w:bottom="1440" w:left="1440" w:header="708" w:footer="708" w:gutter="0"/>
          <w:cols w:space="708"/>
          <w:docGrid w:linePitch="360"/>
        </w:sectPr>
      </w:pPr>
    </w:p>
    <w:p w14:paraId="62500985" w14:textId="77777777" w:rsidR="00EF5EE1" w:rsidRPr="004D4F2F" w:rsidRDefault="00EF5EE1" w:rsidP="00EF5EE1">
      <w:pPr>
        <w:pStyle w:val="Caption"/>
        <w:keepNext/>
        <w:spacing w:line="276" w:lineRule="auto"/>
        <w:jc w:val="center"/>
        <w:rPr>
          <w:rFonts w:ascii="Arial" w:hAnsi="Arial" w:cs="Arial"/>
          <w:vanish/>
          <w:sz w:val="24"/>
          <w:szCs w:val="24"/>
          <w:specVanish/>
        </w:rPr>
      </w:pPr>
      <w:bookmarkStart w:id="6" w:name="_Toc211511677"/>
      <w:bookmarkStart w:id="7" w:name="_Toc211594173"/>
      <w:bookmarkStart w:id="8" w:name="_Toc212797512"/>
      <w:r w:rsidRPr="004D4F2F">
        <w:rPr>
          <w:rFonts w:ascii="Arial" w:hAnsi="Arial" w:cs="Arial"/>
          <w:sz w:val="24"/>
          <w:szCs w:val="24"/>
        </w:rPr>
        <w:lastRenderedPageBreak/>
        <w:t xml:space="preserve">Table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Table \* ARABIC \s 1 </w:instrText>
      </w:r>
      <w:r w:rsidRPr="004D4F2F">
        <w:rPr>
          <w:rFonts w:ascii="Arial" w:hAnsi="Arial" w:cs="Arial"/>
          <w:sz w:val="24"/>
          <w:szCs w:val="24"/>
        </w:rPr>
        <w:fldChar w:fldCharType="separate"/>
      </w:r>
      <w:r>
        <w:rPr>
          <w:rFonts w:ascii="Arial" w:hAnsi="Arial" w:cs="Arial"/>
          <w:noProof/>
          <w:sz w:val="24"/>
          <w:szCs w:val="24"/>
        </w:rPr>
        <w:t>2</w:t>
      </w:r>
      <w:r w:rsidRPr="004D4F2F">
        <w:rPr>
          <w:rFonts w:ascii="Arial" w:hAnsi="Arial" w:cs="Arial"/>
          <w:sz w:val="24"/>
          <w:szCs w:val="24"/>
        </w:rPr>
        <w:fldChar w:fldCharType="end"/>
      </w:r>
      <w:r w:rsidRPr="004D4F2F">
        <w:rPr>
          <w:rFonts w:ascii="Arial" w:hAnsi="Arial" w:cs="Arial"/>
          <w:sz w:val="24"/>
          <w:szCs w:val="24"/>
        </w:rPr>
        <w:t>: Site layout schematic</w:t>
      </w:r>
      <w:bookmarkEnd w:id="6"/>
      <w:bookmarkEnd w:id="7"/>
      <w:bookmarkEnd w:id="8"/>
    </w:p>
    <w:p w14:paraId="338A310C" w14:textId="77777777" w:rsidR="00EF5EE1" w:rsidRPr="004D4F2F" w:rsidRDefault="00EF5EE1" w:rsidP="00EF5EE1">
      <w:pPr>
        <w:pStyle w:val="Caption"/>
        <w:keepNext/>
        <w:spacing w:line="276" w:lineRule="auto"/>
        <w:jc w:val="center"/>
        <w:rPr>
          <w:rFonts w:ascii="Arial" w:hAnsi="Arial" w:cs="Arial"/>
          <w:sz w:val="24"/>
          <w:szCs w:val="24"/>
        </w:rPr>
      </w:pPr>
      <w:r w:rsidRPr="004D4F2F">
        <w:rPr>
          <w:rFonts w:ascii="Arial" w:hAnsi="Arial" w:cs="Arial"/>
          <w:sz w:val="24"/>
          <w:szCs w:val="24"/>
        </w:rPr>
        <w:t xml:space="preserve"> with row and column numbers labelled across the left and top sides and block labels which each containing groups of 90 plants. Each intersection of a row and column indicates where seedlings were planted.</w:t>
      </w:r>
    </w:p>
    <w:tbl>
      <w:tblPr>
        <w:tblW w:w="15883" w:type="dxa"/>
        <w:jc w:val="center"/>
        <w:tblLook w:val="04A0" w:firstRow="1" w:lastRow="0" w:firstColumn="1" w:lastColumn="0" w:noHBand="0" w:noVBand="1"/>
      </w:tblPr>
      <w:tblGrid>
        <w:gridCol w:w="1704"/>
        <w:gridCol w:w="405"/>
        <w:gridCol w:w="405"/>
        <w:gridCol w:w="405"/>
        <w:gridCol w:w="405"/>
        <w:gridCol w:w="405"/>
        <w:gridCol w:w="405"/>
        <w:gridCol w:w="405"/>
        <w:gridCol w:w="404"/>
        <w:gridCol w:w="404"/>
        <w:gridCol w:w="500"/>
        <w:gridCol w:w="500"/>
        <w:gridCol w:w="500"/>
        <w:gridCol w:w="500"/>
        <w:gridCol w:w="500"/>
        <w:gridCol w:w="500"/>
        <w:gridCol w:w="500"/>
        <w:gridCol w:w="500"/>
        <w:gridCol w:w="500"/>
        <w:gridCol w:w="500"/>
        <w:gridCol w:w="500"/>
        <w:gridCol w:w="247"/>
        <w:gridCol w:w="289"/>
        <w:gridCol w:w="500"/>
        <w:gridCol w:w="500"/>
        <w:gridCol w:w="500"/>
        <w:gridCol w:w="500"/>
        <w:gridCol w:w="500"/>
        <w:gridCol w:w="500"/>
        <w:gridCol w:w="500"/>
        <w:gridCol w:w="500"/>
        <w:gridCol w:w="500"/>
      </w:tblGrid>
      <w:tr w:rsidR="00EF5EE1" w:rsidRPr="004D4F2F" w14:paraId="3652A816" w14:textId="77777777" w:rsidTr="00EB1595">
        <w:trPr>
          <w:trHeight w:val="377"/>
          <w:jc w:val="center"/>
        </w:trPr>
        <w:tc>
          <w:tcPr>
            <w:tcW w:w="1704" w:type="dxa"/>
            <w:tcBorders>
              <w:top w:val="nil"/>
              <w:left w:val="nil"/>
              <w:bottom w:val="nil"/>
              <w:right w:val="nil"/>
            </w:tcBorders>
            <w:shd w:val="clear" w:color="auto" w:fill="auto"/>
            <w:noWrap/>
            <w:vAlign w:val="bottom"/>
            <w:hideMark/>
          </w:tcPr>
          <w:p w14:paraId="57886B4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Row/Column number</w:t>
            </w:r>
          </w:p>
        </w:tc>
        <w:tc>
          <w:tcPr>
            <w:tcW w:w="405" w:type="dxa"/>
            <w:tcBorders>
              <w:top w:val="nil"/>
              <w:left w:val="nil"/>
              <w:bottom w:val="nil"/>
              <w:right w:val="nil"/>
            </w:tcBorders>
            <w:shd w:val="clear" w:color="auto" w:fill="auto"/>
            <w:noWrap/>
            <w:vAlign w:val="bottom"/>
            <w:hideMark/>
          </w:tcPr>
          <w:p w14:paraId="27878AE9"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w:t>
            </w:r>
          </w:p>
        </w:tc>
        <w:tc>
          <w:tcPr>
            <w:tcW w:w="405" w:type="dxa"/>
            <w:tcBorders>
              <w:top w:val="nil"/>
              <w:left w:val="nil"/>
              <w:bottom w:val="nil"/>
              <w:right w:val="nil"/>
            </w:tcBorders>
            <w:shd w:val="clear" w:color="auto" w:fill="auto"/>
            <w:noWrap/>
            <w:vAlign w:val="bottom"/>
            <w:hideMark/>
          </w:tcPr>
          <w:p w14:paraId="15E8CE82"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w:t>
            </w:r>
          </w:p>
        </w:tc>
        <w:tc>
          <w:tcPr>
            <w:tcW w:w="405" w:type="dxa"/>
            <w:tcBorders>
              <w:top w:val="nil"/>
              <w:left w:val="nil"/>
              <w:bottom w:val="nil"/>
              <w:right w:val="nil"/>
            </w:tcBorders>
            <w:shd w:val="clear" w:color="auto" w:fill="auto"/>
            <w:noWrap/>
            <w:vAlign w:val="bottom"/>
            <w:hideMark/>
          </w:tcPr>
          <w:p w14:paraId="1F471E1B"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3</w:t>
            </w:r>
          </w:p>
        </w:tc>
        <w:tc>
          <w:tcPr>
            <w:tcW w:w="405" w:type="dxa"/>
            <w:tcBorders>
              <w:top w:val="nil"/>
              <w:left w:val="nil"/>
              <w:bottom w:val="nil"/>
              <w:right w:val="nil"/>
            </w:tcBorders>
            <w:shd w:val="clear" w:color="auto" w:fill="auto"/>
            <w:noWrap/>
            <w:vAlign w:val="bottom"/>
            <w:hideMark/>
          </w:tcPr>
          <w:p w14:paraId="065AB33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4</w:t>
            </w:r>
          </w:p>
        </w:tc>
        <w:tc>
          <w:tcPr>
            <w:tcW w:w="405" w:type="dxa"/>
            <w:tcBorders>
              <w:top w:val="nil"/>
              <w:left w:val="nil"/>
              <w:bottom w:val="nil"/>
              <w:right w:val="nil"/>
            </w:tcBorders>
            <w:shd w:val="clear" w:color="auto" w:fill="auto"/>
            <w:noWrap/>
            <w:vAlign w:val="bottom"/>
            <w:hideMark/>
          </w:tcPr>
          <w:p w14:paraId="609A5B23"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5</w:t>
            </w:r>
          </w:p>
        </w:tc>
        <w:tc>
          <w:tcPr>
            <w:tcW w:w="405" w:type="dxa"/>
            <w:tcBorders>
              <w:top w:val="nil"/>
              <w:left w:val="nil"/>
              <w:bottom w:val="nil"/>
              <w:right w:val="nil"/>
            </w:tcBorders>
            <w:shd w:val="clear" w:color="auto" w:fill="auto"/>
            <w:noWrap/>
            <w:vAlign w:val="bottom"/>
            <w:hideMark/>
          </w:tcPr>
          <w:p w14:paraId="1CA727DB"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6</w:t>
            </w:r>
          </w:p>
        </w:tc>
        <w:tc>
          <w:tcPr>
            <w:tcW w:w="405" w:type="dxa"/>
            <w:tcBorders>
              <w:top w:val="nil"/>
              <w:left w:val="nil"/>
              <w:bottom w:val="nil"/>
              <w:right w:val="nil"/>
            </w:tcBorders>
            <w:shd w:val="clear" w:color="auto" w:fill="auto"/>
            <w:noWrap/>
            <w:vAlign w:val="bottom"/>
            <w:hideMark/>
          </w:tcPr>
          <w:p w14:paraId="53B0C3BD"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7</w:t>
            </w:r>
          </w:p>
        </w:tc>
        <w:tc>
          <w:tcPr>
            <w:tcW w:w="404" w:type="dxa"/>
            <w:tcBorders>
              <w:top w:val="nil"/>
              <w:left w:val="nil"/>
              <w:bottom w:val="nil"/>
              <w:right w:val="nil"/>
            </w:tcBorders>
            <w:shd w:val="clear" w:color="auto" w:fill="auto"/>
            <w:noWrap/>
            <w:vAlign w:val="bottom"/>
            <w:hideMark/>
          </w:tcPr>
          <w:p w14:paraId="3F5218EE"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8</w:t>
            </w:r>
          </w:p>
        </w:tc>
        <w:tc>
          <w:tcPr>
            <w:tcW w:w="404" w:type="dxa"/>
            <w:tcBorders>
              <w:top w:val="nil"/>
              <w:left w:val="nil"/>
              <w:bottom w:val="nil"/>
              <w:right w:val="nil"/>
            </w:tcBorders>
            <w:shd w:val="clear" w:color="auto" w:fill="auto"/>
            <w:noWrap/>
            <w:vAlign w:val="bottom"/>
            <w:hideMark/>
          </w:tcPr>
          <w:p w14:paraId="4B93322F"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9</w:t>
            </w:r>
          </w:p>
        </w:tc>
        <w:tc>
          <w:tcPr>
            <w:tcW w:w="500" w:type="dxa"/>
            <w:tcBorders>
              <w:top w:val="nil"/>
              <w:left w:val="nil"/>
              <w:bottom w:val="nil"/>
              <w:right w:val="nil"/>
            </w:tcBorders>
            <w:shd w:val="clear" w:color="auto" w:fill="auto"/>
            <w:noWrap/>
            <w:vAlign w:val="bottom"/>
            <w:hideMark/>
          </w:tcPr>
          <w:p w14:paraId="68F9191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10</w:t>
            </w:r>
          </w:p>
        </w:tc>
        <w:tc>
          <w:tcPr>
            <w:tcW w:w="500" w:type="dxa"/>
            <w:tcBorders>
              <w:top w:val="nil"/>
              <w:left w:val="nil"/>
              <w:bottom w:val="nil"/>
              <w:right w:val="nil"/>
            </w:tcBorders>
            <w:shd w:val="clear" w:color="auto" w:fill="auto"/>
            <w:noWrap/>
            <w:vAlign w:val="bottom"/>
            <w:hideMark/>
          </w:tcPr>
          <w:p w14:paraId="3744E718"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11</w:t>
            </w:r>
          </w:p>
        </w:tc>
        <w:tc>
          <w:tcPr>
            <w:tcW w:w="500" w:type="dxa"/>
            <w:tcBorders>
              <w:top w:val="nil"/>
              <w:left w:val="nil"/>
              <w:bottom w:val="nil"/>
              <w:right w:val="nil"/>
            </w:tcBorders>
            <w:shd w:val="clear" w:color="auto" w:fill="auto"/>
            <w:noWrap/>
            <w:vAlign w:val="bottom"/>
            <w:hideMark/>
          </w:tcPr>
          <w:p w14:paraId="696245B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12</w:t>
            </w:r>
          </w:p>
        </w:tc>
        <w:tc>
          <w:tcPr>
            <w:tcW w:w="500" w:type="dxa"/>
            <w:tcBorders>
              <w:top w:val="nil"/>
              <w:left w:val="nil"/>
              <w:bottom w:val="nil"/>
              <w:right w:val="nil"/>
            </w:tcBorders>
            <w:shd w:val="clear" w:color="auto" w:fill="auto"/>
            <w:noWrap/>
            <w:vAlign w:val="bottom"/>
            <w:hideMark/>
          </w:tcPr>
          <w:p w14:paraId="7A19F1BE"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13</w:t>
            </w:r>
          </w:p>
        </w:tc>
        <w:tc>
          <w:tcPr>
            <w:tcW w:w="500" w:type="dxa"/>
            <w:tcBorders>
              <w:top w:val="nil"/>
              <w:left w:val="nil"/>
              <w:bottom w:val="nil"/>
              <w:right w:val="nil"/>
            </w:tcBorders>
            <w:shd w:val="clear" w:color="auto" w:fill="auto"/>
            <w:noWrap/>
            <w:vAlign w:val="bottom"/>
            <w:hideMark/>
          </w:tcPr>
          <w:p w14:paraId="505C0BEB"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14</w:t>
            </w:r>
          </w:p>
        </w:tc>
        <w:tc>
          <w:tcPr>
            <w:tcW w:w="500" w:type="dxa"/>
            <w:tcBorders>
              <w:top w:val="nil"/>
              <w:left w:val="nil"/>
              <w:bottom w:val="nil"/>
              <w:right w:val="nil"/>
            </w:tcBorders>
            <w:shd w:val="clear" w:color="auto" w:fill="auto"/>
            <w:noWrap/>
            <w:vAlign w:val="bottom"/>
            <w:hideMark/>
          </w:tcPr>
          <w:p w14:paraId="764226FC"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15</w:t>
            </w:r>
          </w:p>
        </w:tc>
        <w:tc>
          <w:tcPr>
            <w:tcW w:w="500" w:type="dxa"/>
            <w:tcBorders>
              <w:top w:val="nil"/>
              <w:left w:val="nil"/>
              <w:bottom w:val="nil"/>
              <w:right w:val="nil"/>
            </w:tcBorders>
            <w:shd w:val="clear" w:color="auto" w:fill="auto"/>
            <w:noWrap/>
            <w:vAlign w:val="bottom"/>
            <w:hideMark/>
          </w:tcPr>
          <w:p w14:paraId="62DE91F9"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16</w:t>
            </w:r>
          </w:p>
        </w:tc>
        <w:tc>
          <w:tcPr>
            <w:tcW w:w="500" w:type="dxa"/>
            <w:tcBorders>
              <w:top w:val="nil"/>
              <w:left w:val="nil"/>
              <w:bottom w:val="nil"/>
              <w:right w:val="nil"/>
            </w:tcBorders>
            <w:shd w:val="clear" w:color="auto" w:fill="auto"/>
            <w:noWrap/>
            <w:vAlign w:val="bottom"/>
            <w:hideMark/>
          </w:tcPr>
          <w:p w14:paraId="0F92E430"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17</w:t>
            </w:r>
          </w:p>
        </w:tc>
        <w:tc>
          <w:tcPr>
            <w:tcW w:w="500" w:type="dxa"/>
            <w:tcBorders>
              <w:top w:val="nil"/>
              <w:left w:val="nil"/>
              <w:bottom w:val="nil"/>
              <w:right w:val="nil"/>
            </w:tcBorders>
            <w:shd w:val="clear" w:color="auto" w:fill="auto"/>
            <w:noWrap/>
            <w:vAlign w:val="bottom"/>
            <w:hideMark/>
          </w:tcPr>
          <w:p w14:paraId="1148BA0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18</w:t>
            </w:r>
          </w:p>
        </w:tc>
        <w:tc>
          <w:tcPr>
            <w:tcW w:w="500" w:type="dxa"/>
            <w:tcBorders>
              <w:top w:val="nil"/>
              <w:left w:val="nil"/>
              <w:bottom w:val="nil"/>
              <w:right w:val="nil"/>
            </w:tcBorders>
            <w:shd w:val="clear" w:color="auto" w:fill="auto"/>
            <w:noWrap/>
            <w:vAlign w:val="bottom"/>
            <w:hideMark/>
          </w:tcPr>
          <w:p w14:paraId="2E15D8BE"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19</w:t>
            </w:r>
          </w:p>
        </w:tc>
        <w:tc>
          <w:tcPr>
            <w:tcW w:w="500" w:type="dxa"/>
            <w:tcBorders>
              <w:top w:val="nil"/>
              <w:left w:val="nil"/>
              <w:bottom w:val="nil"/>
              <w:right w:val="nil"/>
            </w:tcBorders>
            <w:shd w:val="clear" w:color="auto" w:fill="auto"/>
            <w:noWrap/>
            <w:vAlign w:val="bottom"/>
            <w:hideMark/>
          </w:tcPr>
          <w:p w14:paraId="1728B2F7"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20</w:t>
            </w:r>
          </w:p>
        </w:tc>
        <w:tc>
          <w:tcPr>
            <w:tcW w:w="536" w:type="dxa"/>
            <w:gridSpan w:val="2"/>
            <w:tcBorders>
              <w:top w:val="nil"/>
              <w:left w:val="nil"/>
              <w:bottom w:val="nil"/>
              <w:right w:val="nil"/>
            </w:tcBorders>
            <w:shd w:val="clear" w:color="auto" w:fill="auto"/>
            <w:noWrap/>
            <w:vAlign w:val="bottom"/>
            <w:hideMark/>
          </w:tcPr>
          <w:p w14:paraId="0F665B37"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21</w:t>
            </w:r>
          </w:p>
        </w:tc>
        <w:tc>
          <w:tcPr>
            <w:tcW w:w="500" w:type="dxa"/>
            <w:tcBorders>
              <w:top w:val="nil"/>
              <w:left w:val="nil"/>
              <w:bottom w:val="nil"/>
              <w:right w:val="nil"/>
            </w:tcBorders>
            <w:shd w:val="clear" w:color="auto" w:fill="auto"/>
            <w:noWrap/>
            <w:vAlign w:val="bottom"/>
            <w:hideMark/>
          </w:tcPr>
          <w:p w14:paraId="64C60A45"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22</w:t>
            </w:r>
          </w:p>
        </w:tc>
        <w:tc>
          <w:tcPr>
            <w:tcW w:w="500" w:type="dxa"/>
            <w:tcBorders>
              <w:top w:val="nil"/>
              <w:left w:val="nil"/>
              <w:bottom w:val="nil"/>
              <w:right w:val="nil"/>
            </w:tcBorders>
            <w:shd w:val="clear" w:color="auto" w:fill="auto"/>
            <w:noWrap/>
            <w:vAlign w:val="bottom"/>
            <w:hideMark/>
          </w:tcPr>
          <w:p w14:paraId="1C84E93D"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23</w:t>
            </w:r>
          </w:p>
        </w:tc>
        <w:tc>
          <w:tcPr>
            <w:tcW w:w="500" w:type="dxa"/>
            <w:tcBorders>
              <w:top w:val="nil"/>
              <w:left w:val="nil"/>
              <w:bottom w:val="nil"/>
              <w:right w:val="nil"/>
            </w:tcBorders>
            <w:shd w:val="clear" w:color="auto" w:fill="auto"/>
            <w:noWrap/>
            <w:vAlign w:val="bottom"/>
            <w:hideMark/>
          </w:tcPr>
          <w:p w14:paraId="31F4796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24</w:t>
            </w:r>
          </w:p>
        </w:tc>
        <w:tc>
          <w:tcPr>
            <w:tcW w:w="500" w:type="dxa"/>
            <w:tcBorders>
              <w:top w:val="nil"/>
              <w:left w:val="nil"/>
              <w:bottom w:val="nil"/>
              <w:right w:val="nil"/>
            </w:tcBorders>
            <w:shd w:val="clear" w:color="auto" w:fill="auto"/>
            <w:noWrap/>
            <w:vAlign w:val="bottom"/>
            <w:hideMark/>
          </w:tcPr>
          <w:p w14:paraId="0AE2B074"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25</w:t>
            </w:r>
          </w:p>
        </w:tc>
        <w:tc>
          <w:tcPr>
            <w:tcW w:w="500" w:type="dxa"/>
            <w:tcBorders>
              <w:top w:val="nil"/>
              <w:left w:val="nil"/>
              <w:bottom w:val="nil"/>
              <w:right w:val="nil"/>
            </w:tcBorders>
            <w:shd w:val="clear" w:color="auto" w:fill="auto"/>
            <w:noWrap/>
            <w:vAlign w:val="bottom"/>
            <w:hideMark/>
          </w:tcPr>
          <w:p w14:paraId="3597F68F"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26</w:t>
            </w:r>
          </w:p>
        </w:tc>
        <w:tc>
          <w:tcPr>
            <w:tcW w:w="500" w:type="dxa"/>
            <w:tcBorders>
              <w:top w:val="nil"/>
              <w:left w:val="nil"/>
              <w:bottom w:val="nil"/>
              <w:right w:val="nil"/>
            </w:tcBorders>
            <w:shd w:val="clear" w:color="auto" w:fill="auto"/>
            <w:noWrap/>
            <w:vAlign w:val="bottom"/>
            <w:hideMark/>
          </w:tcPr>
          <w:p w14:paraId="21DA8A11"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27</w:t>
            </w:r>
          </w:p>
        </w:tc>
        <w:tc>
          <w:tcPr>
            <w:tcW w:w="500" w:type="dxa"/>
            <w:tcBorders>
              <w:top w:val="nil"/>
              <w:left w:val="nil"/>
              <w:bottom w:val="nil"/>
              <w:right w:val="nil"/>
            </w:tcBorders>
            <w:shd w:val="clear" w:color="auto" w:fill="auto"/>
            <w:noWrap/>
            <w:vAlign w:val="bottom"/>
            <w:hideMark/>
          </w:tcPr>
          <w:p w14:paraId="57EF77E7"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28</w:t>
            </w:r>
          </w:p>
        </w:tc>
        <w:tc>
          <w:tcPr>
            <w:tcW w:w="500" w:type="dxa"/>
            <w:tcBorders>
              <w:top w:val="nil"/>
              <w:left w:val="nil"/>
              <w:bottom w:val="nil"/>
              <w:right w:val="nil"/>
            </w:tcBorders>
            <w:shd w:val="clear" w:color="auto" w:fill="auto"/>
            <w:noWrap/>
            <w:vAlign w:val="bottom"/>
            <w:hideMark/>
          </w:tcPr>
          <w:p w14:paraId="18D7CEEF"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29</w:t>
            </w:r>
          </w:p>
        </w:tc>
        <w:tc>
          <w:tcPr>
            <w:tcW w:w="500" w:type="dxa"/>
            <w:tcBorders>
              <w:top w:val="nil"/>
              <w:left w:val="nil"/>
              <w:bottom w:val="nil"/>
              <w:right w:val="nil"/>
            </w:tcBorders>
            <w:shd w:val="clear" w:color="auto" w:fill="auto"/>
            <w:noWrap/>
            <w:vAlign w:val="bottom"/>
            <w:hideMark/>
          </w:tcPr>
          <w:p w14:paraId="2A2A5D86"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30</w:t>
            </w:r>
          </w:p>
        </w:tc>
      </w:tr>
      <w:tr w:rsidR="00EF5EE1" w:rsidRPr="004D4F2F" w14:paraId="25D1B069"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1C0715A2"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w:t>
            </w:r>
          </w:p>
        </w:tc>
        <w:tc>
          <w:tcPr>
            <w:tcW w:w="4143" w:type="dxa"/>
            <w:gridSpan w:val="10"/>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D59FD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1</w:t>
            </w:r>
          </w:p>
        </w:tc>
        <w:tc>
          <w:tcPr>
            <w:tcW w:w="5247" w:type="dxa"/>
            <w:gridSpan w:val="11"/>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12F6D"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2</w:t>
            </w:r>
          </w:p>
        </w:tc>
        <w:tc>
          <w:tcPr>
            <w:tcW w:w="4789" w:type="dxa"/>
            <w:gridSpan w:val="10"/>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5574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3</w:t>
            </w:r>
          </w:p>
        </w:tc>
      </w:tr>
      <w:tr w:rsidR="00EF5EE1" w:rsidRPr="004D4F2F" w14:paraId="03F9E3C7"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7869646A"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7E3E2027"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30647CDE"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1A171E8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C94A5BD"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24A40384"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3</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4327979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60EFAEB5"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660E45B2"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709058B"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7DA728F6"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4</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10DB5563"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49677FB8"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229B9DFF"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60289DD6"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40269165"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5</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22A498C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1F84B50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41226926"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3DA3103E"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113BFC14"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6</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45423CDE"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1925F3EE"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600BBEC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52A018F8"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33B2F197"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7</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72EB0A3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3DF4C4F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723411E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06D2FF3D"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62EACFB6"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8</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652F6F5A"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67CFC1A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284554C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1281DDE3" w14:textId="77777777" w:rsidTr="00EB1595">
        <w:trPr>
          <w:trHeight w:val="377"/>
          <w:jc w:val="center"/>
        </w:trPr>
        <w:tc>
          <w:tcPr>
            <w:tcW w:w="1704" w:type="dxa"/>
            <w:tcBorders>
              <w:top w:val="nil"/>
              <w:left w:val="nil"/>
              <w:bottom w:val="nil"/>
              <w:right w:val="single" w:sz="4" w:space="0" w:color="auto"/>
            </w:tcBorders>
            <w:shd w:val="clear" w:color="auto" w:fill="auto"/>
            <w:noWrap/>
            <w:vAlign w:val="bottom"/>
            <w:hideMark/>
          </w:tcPr>
          <w:p w14:paraId="67967491"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9</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1202BB5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0DDAACB7"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1920985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D1E4BE8"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1B2A067D"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10</w:t>
            </w:r>
          </w:p>
        </w:tc>
        <w:tc>
          <w:tcPr>
            <w:tcW w:w="4143" w:type="dxa"/>
            <w:gridSpan w:val="10"/>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47A5A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6</w:t>
            </w:r>
          </w:p>
        </w:tc>
        <w:tc>
          <w:tcPr>
            <w:tcW w:w="5247" w:type="dxa"/>
            <w:gridSpan w:val="11"/>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AAD301"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5</w:t>
            </w:r>
          </w:p>
        </w:tc>
        <w:tc>
          <w:tcPr>
            <w:tcW w:w="4789" w:type="dxa"/>
            <w:gridSpan w:val="10"/>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DB75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Block 4</w:t>
            </w:r>
          </w:p>
        </w:tc>
      </w:tr>
      <w:tr w:rsidR="00EF5EE1" w:rsidRPr="004D4F2F" w14:paraId="38A08358"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1E52E6F0"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11</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6D724EFD"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554D3CE4"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0F25CFC5"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9A66545"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00DBAB74"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12</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064D2483"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587E5EE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030A9FF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04E1BFD"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0F87F2EB"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13</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6D7EEC9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39479182"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09A5FFA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3AF406F7"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0F947CB9"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14</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4E81877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5A35E9C5"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6155FDB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709F28A7"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3EBBFA43"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15</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4C7CAF96"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6668DFC3"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605D269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D8B796C"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24E783C8"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16</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60B765E6"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76CD0503"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324649D7"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35CFDBCC" w14:textId="77777777" w:rsidTr="00EB1595">
        <w:trPr>
          <w:trHeight w:val="367"/>
          <w:jc w:val="center"/>
        </w:trPr>
        <w:tc>
          <w:tcPr>
            <w:tcW w:w="1704" w:type="dxa"/>
            <w:tcBorders>
              <w:top w:val="nil"/>
              <w:left w:val="nil"/>
              <w:bottom w:val="nil"/>
              <w:right w:val="single" w:sz="4" w:space="0" w:color="auto"/>
            </w:tcBorders>
            <w:shd w:val="clear" w:color="auto" w:fill="auto"/>
            <w:noWrap/>
            <w:vAlign w:val="bottom"/>
            <w:hideMark/>
          </w:tcPr>
          <w:p w14:paraId="7ABE0689"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17</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670DC1F5"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15D6CE84"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6CBD50C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8F78E54" w14:textId="77777777" w:rsidTr="00EB1595">
        <w:trPr>
          <w:trHeight w:val="377"/>
          <w:jc w:val="center"/>
        </w:trPr>
        <w:tc>
          <w:tcPr>
            <w:tcW w:w="1704" w:type="dxa"/>
            <w:tcBorders>
              <w:top w:val="nil"/>
              <w:left w:val="nil"/>
              <w:bottom w:val="nil"/>
              <w:right w:val="single" w:sz="4" w:space="0" w:color="auto"/>
            </w:tcBorders>
            <w:shd w:val="clear" w:color="auto" w:fill="auto"/>
            <w:noWrap/>
            <w:vAlign w:val="bottom"/>
            <w:hideMark/>
          </w:tcPr>
          <w:p w14:paraId="022FF94E" w14:textId="77777777" w:rsidR="00EF5EE1" w:rsidRPr="004D4F2F" w:rsidRDefault="00EF5EE1" w:rsidP="00EB1595">
            <w:pPr>
              <w:spacing w:after="0" w:line="276" w:lineRule="auto"/>
              <w:jc w:val="right"/>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18</w:t>
            </w:r>
          </w:p>
        </w:tc>
        <w:tc>
          <w:tcPr>
            <w:tcW w:w="4143" w:type="dxa"/>
            <w:gridSpan w:val="10"/>
            <w:vMerge/>
            <w:tcBorders>
              <w:top w:val="single" w:sz="4" w:space="0" w:color="auto"/>
              <w:left w:val="single" w:sz="4" w:space="0" w:color="auto"/>
              <w:bottom w:val="single" w:sz="4" w:space="0" w:color="auto"/>
              <w:right w:val="single" w:sz="4" w:space="0" w:color="auto"/>
            </w:tcBorders>
            <w:vAlign w:val="center"/>
            <w:hideMark/>
          </w:tcPr>
          <w:p w14:paraId="057BD0C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5247" w:type="dxa"/>
            <w:gridSpan w:val="11"/>
            <w:vMerge/>
            <w:tcBorders>
              <w:top w:val="single" w:sz="4" w:space="0" w:color="auto"/>
              <w:left w:val="single" w:sz="4" w:space="0" w:color="auto"/>
              <w:bottom w:val="single" w:sz="4" w:space="0" w:color="auto"/>
              <w:right w:val="single" w:sz="4" w:space="0" w:color="auto"/>
            </w:tcBorders>
            <w:vAlign w:val="center"/>
            <w:hideMark/>
          </w:tcPr>
          <w:p w14:paraId="7A05E312"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789" w:type="dxa"/>
            <w:gridSpan w:val="10"/>
            <w:vMerge/>
            <w:tcBorders>
              <w:top w:val="single" w:sz="4" w:space="0" w:color="auto"/>
              <w:left w:val="single" w:sz="4" w:space="0" w:color="auto"/>
              <w:bottom w:val="single" w:sz="4" w:space="0" w:color="auto"/>
              <w:right w:val="single" w:sz="4" w:space="0" w:color="auto"/>
            </w:tcBorders>
            <w:vAlign w:val="center"/>
            <w:hideMark/>
          </w:tcPr>
          <w:p w14:paraId="4EE52CE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bl>
    <w:p w14:paraId="5C1BF725" w14:textId="77777777" w:rsidR="00EF5EE1" w:rsidRPr="004D4F2F" w:rsidRDefault="00EF5EE1" w:rsidP="00EF5EE1">
      <w:pPr>
        <w:spacing w:line="276" w:lineRule="auto"/>
        <w:ind w:left="720" w:firstLine="720"/>
        <w:rPr>
          <w:rFonts w:ascii="Arial" w:hAnsi="Arial" w:cs="Arial"/>
          <w:sz w:val="24"/>
          <w:szCs w:val="24"/>
        </w:rPr>
        <w:sectPr w:rsidR="00EF5EE1" w:rsidRPr="004D4F2F" w:rsidSect="00050E2E">
          <w:pgSz w:w="16840" w:h="11907" w:code="9"/>
          <w:pgMar w:top="1440" w:right="1440" w:bottom="1440" w:left="1440" w:header="709" w:footer="709" w:gutter="0"/>
          <w:cols w:space="708"/>
          <w:docGrid w:linePitch="360"/>
        </w:sectPr>
      </w:pPr>
    </w:p>
    <w:p w14:paraId="37E51CFC" w14:textId="77777777" w:rsidR="00EF5EE1" w:rsidRPr="004D4F2F" w:rsidRDefault="00EF5EE1" w:rsidP="00EF5EE1">
      <w:pPr>
        <w:pStyle w:val="Caption"/>
        <w:keepNext/>
        <w:spacing w:line="276" w:lineRule="auto"/>
        <w:jc w:val="center"/>
        <w:rPr>
          <w:rFonts w:ascii="Arial" w:hAnsi="Arial" w:cs="Arial"/>
          <w:vanish/>
          <w:sz w:val="24"/>
          <w:szCs w:val="24"/>
          <w:specVanish/>
        </w:rPr>
      </w:pPr>
      <w:bookmarkStart w:id="9" w:name="_Toc211511678"/>
      <w:bookmarkStart w:id="10" w:name="_Toc211594174"/>
      <w:bookmarkStart w:id="11" w:name="_Toc212797513"/>
      <w:r w:rsidRPr="004D4F2F">
        <w:rPr>
          <w:rFonts w:ascii="Arial" w:hAnsi="Arial" w:cs="Arial"/>
          <w:sz w:val="24"/>
          <w:szCs w:val="24"/>
        </w:rPr>
        <w:lastRenderedPageBreak/>
        <w:t xml:space="preserve">Table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Table \* ARABIC \s 1 </w:instrText>
      </w:r>
      <w:r w:rsidRPr="004D4F2F">
        <w:rPr>
          <w:rFonts w:ascii="Arial" w:hAnsi="Arial" w:cs="Arial"/>
          <w:sz w:val="24"/>
          <w:szCs w:val="24"/>
        </w:rPr>
        <w:fldChar w:fldCharType="separate"/>
      </w:r>
      <w:r>
        <w:rPr>
          <w:rFonts w:ascii="Arial" w:hAnsi="Arial" w:cs="Arial"/>
          <w:noProof/>
          <w:sz w:val="24"/>
          <w:szCs w:val="24"/>
        </w:rPr>
        <w:t>3</w:t>
      </w:r>
      <w:r w:rsidRPr="004D4F2F">
        <w:rPr>
          <w:rFonts w:ascii="Arial" w:hAnsi="Arial" w:cs="Arial"/>
          <w:sz w:val="24"/>
          <w:szCs w:val="24"/>
        </w:rPr>
        <w:fldChar w:fldCharType="end"/>
      </w:r>
      <w:r w:rsidRPr="004D4F2F">
        <w:rPr>
          <w:rFonts w:ascii="Arial" w:hAnsi="Arial" w:cs="Arial"/>
          <w:sz w:val="24"/>
          <w:szCs w:val="24"/>
        </w:rPr>
        <w:t>: Summary of the data collected at the common garden trial</w:t>
      </w:r>
      <w:bookmarkEnd w:id="9"/>
      <w:bookmarkEnd w:id="10"/>
      <w:bookmarkEnd w:id="11"/>
    </w:p>
    <w:p w14:paraId="6B95C184" w14:textId="77777777" w:rsidR="00EF5EE1" w:rsidRPr="004D4F2F" w:rsidRDefault="00EF5EE1" w:rsidP="00EF5EE1">
      <w:pPr>
        <w:pStyle w:val="Caption"/>
        <w:keepNext/>
        <w:spacing w:line="276" w:lineRule="auto"/>
        <w:rPr>
          <w:rFonts w:ascii="Arial" w:hAnsi="Arial" w:cs="Arial"/>
          <w:sz w:val="24"/>
          <w:szCs w:val="24"/>
        </w:rPr>
      </w:pPr>
      <w:r w:rsidRPr="004D4F2F">
        <w:rPr>
          <w:rFonts w:ascii="Arial" w:hAnsi="Arial" w:cs="Arial"/>
          <w:sz w:val="24"/>
          <w:szCs w:val="24"/>
        </w:rPr>
        <w:t>, including general categories (QG= quantitative genetic measurements), the abbreviations used in this chapter (where applicable), the date ranges when each type of data was collected, the type of data and statistical analyses used, and various notes about each.</w:t>
      </w:r>
    </w:p>
    <w:tbl>
      <w:tblPr>
        <w:tblW w:w="15146" w:type="dxa"/>
        <w:jc w:val="center"/>
        <w:tblLook w:val="04A0" w:firstRow="1" w:lastRow="0" w:firstColumn="1" w:lastColumn="0" w:noHBand="0" w:noVBand="1"/>
      </w:tblPr>
      <w:tblGrid>
        <w:gridCol w:w="1317"/>
        <w:gridCol w:w="2346"/>
        <w:gridCol w:w="1860"/>
        <w:gridCol w:w="2800"/>
        <w:gridCol w:w="2446"/>
        <w:gridCol w:w="4452"/>
      </w:tblGrid>
      <w:tr w:rsidR="00EF5EE1" w:rsidRPr="004D4F2F" w14:paraId="78786CE0" w14:textId="77777777" w:rsidTr="00EB1595">
        <w:trPr>
          <w:trHeight w:val="330"/>
          <w:jc w:val="center"/>
        </w:trPr>
        <w:tc>
          <w:tcPr>
            <w:tcW w:w="1242" w:type="dxa"/>
            <w:tcBorders>
              <w:top w:val="single" w:sz="4" w:space="0" w:color="auto"/>
              <w:left w:val="single" w:sz="4" w:space="0" w:color="auto"/>
              <w:bottom w:val="single" w:sz="8" w:space="0" w:color="auto"/>
              <w:right w:val="nil"/>
            </w:tcBorders>
            <w:shd w:val="clear" w:color="auto" w:fill="auto"/>
            <w:noWrap/>
            <w:vAlign w:val="center"/>
            <w:hideMark/>
          </w:tcPr>
          <w:p w14:paraId="6B2DDA3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Category</w:t>
            </w:r>
          </w:p>
        </w:tc>
        <w:tc>
          <w:tcPr>
            <w:tcW w:w="2346" w:type="dxa"/>
            <w:tcBorders>
              <w:top w:val="single" w:sz="4" w:space="0" w:color="auto"/>
              <w:left w:val="nil"/>
              <w:bottom w:val="single" w:sz="8" w:space="0" w:color="auto"/>
              <w:right w:val="nil"/>
            </w:tcBorders>
            <w:shd w:val="clear" w:color="auto" w:fill="auto"/>
            <w:noWrap/>
            <w:vAlign w:val="center"/>
            <w:hideMark/>
          </w:tcPr>
          <w:p w14:paraId="59195429"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Measurement</w:t>
            </w:r>
          </w:p>
        </w:tc>
        <w:tc>
          <w:tcPr>
            <w:tcW w:w="1860" w:type="dxa"/>
            <w:tcBorders>
              <w:top w:val="single" w:sz="4" w:space="0" w:color="auto"/>
              <w:left w:val="nil"/>
              <w:bottom w:val="single" w:sz="8" w:space="0" w:color="auto"/>
              <w:right w:val="single" w:sz="4" w:space="0" w:color="auto"/>
            </w:tcBorders>
            <w:shd w:val="clear" w:color="auto" w:fill="auto"/>
            <w:noWrap/>
            <w:vAlign w:val="center"/>
            <w:hideMark/>
          </w:tcPr>
          <w:p w14:paraId="3BBE7D3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Abbreviation</w:t>
            </w:r>
          </w:p>
        </w:tc>
        <w:tc>
          <w:tcPr>
            <w:tcW w:w="2800" w:type="dxa"/>
            <w:tcBorders>
              <w:top w:val="single" w:sz="4" w:space="0" w:color="auto"/>
              <w:left w:val="nil"/>
              <w:bottom w:val="single" w:sz="8" w:space="0" w:color="auto"/>
              <w:right w:val="nil"/>
            </w:tcBorders>
            <w:shd w:val="clear" w:color="auto" w:fill="auto"/>
            <w:noWrap/>
            <w:vAlign w:val="center"/>
            <w:hideMark/>
          </w:tcPr>
          <w:p w14:paraId="15D5818B"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Dates</w:t>
            </w:r>
          </w:p>
        </w:tc>
        <w:tc>
          <w:tcPr>
            <w:tcW w:w="2446" w:type="dxa"/>
            <w:tcBorders>
              <w:top w:val="single" w:sz="4" w:space="0" w:color="auto"/>
              <w:left w:val="nil"/>
              <w:bottom w:val="single" w:sz="8" w:space="0" w:color="auto"/>
              <w:right w:val="nil"/>
            </w:tcBorders>
            <w:shd w:val="clear" w:color="auto" w:fill="auto"/>
            <w:noWrap/>
            <w:vAlign w:val="center"/>
            <w:hideMark/>
          </w:tcPr>
          <w:p w14:paraId="3AD76293"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Type of data</w:t>
            </w:r>
          </w:p>
        </w:tc>
        <w:tc>
          <w:tcPr>
            <w:tcW w:w="4452" w:type="dxa"/>
            <w:tcBorders>
              <w:top w:val="single" w:sz="4" w:space="0" w:color="auto"/>
              <w:left w:val="nil"/>
              <w:bottom w:val="single" w:sz="8" w:space="0" w:color="auto"/>
              <w:right w:val="single" w:sz="4" w:space="0" w:color="auto"/>
            </w:tcBorders>
            <w:shd w:val="clear" w:color="auto" w:fill="auto"/>
            <w:vAlign w:val="center"/>
            <w:hideMark/>
          </w:tcPr>
          <w:p w14:paraId="73ED7A44"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Type of analysis</w:t>
            </w:r>
          </w:p>
        </w:tc>
      </w:tr>
      <w:tr w:rsidR="00EF5EE1" w:rsidRPr="004D4F2F" w14:paraId="17B2EE1C" w14:textId="77777777" w:rsidTr="00EB1595">
        <w:trPr>
          <w:trHeight w:val="780"/>
          <w:jc w:val="center"/>
        </w:trPr>
        <w:tc>
          <w:tcPr>
            <w:tcW w:w="1242" w:type="dxa"/>
            <w:vMerge w:val="restart"/>
            <w:tcBorders>
              <w:top w:val="nil"/>
              <w:left w:val="single" w:sz="4" w:space="0" w:color="auto"/>
              <w:right w:val="nil"/>
            </w:tcBorders>
            <w:shd w:val="clear" w:color="auto" w:fill="auto"/>
            <w:noWrap/>
            <w:vAlign w:val="center"/>
            <w:hideMark/>
          </w:tcPr>
          <w:p w14:paraId="3EF5B60D"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QG</w:t>
            </w:r>
          </w:p>
        </w:tc>
        <w:tc>
          <w:tcPr>
            <w:tcW w:w="2346" w:type="dxa"/>
            <w:tcBorders>
              <w:top w:val="nil"/>
              <w:left w:val="nil"/>
              <w:bottom w:val="nil"/>
              <w:right w:val="nil"/>
            </w:tcBorders>
            <w:shd w:val="clear" w:color="auto" w:fill="auto"/>
            <w:noWrap/>
            <w:vAlign w:val="center"/>
            <w:hideMark/>
          </w:tcPr>
          <w:p w14:paraId="7355E11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Munsell leaf colours</w:t>
            </w:r>
          </w:p>
        </w:tc>
        <w:tc>
          <w:tcPr>
            <w:tcW w:w="1860" w:type="dxa"/>
            <w:tcBorders>
              <w:top w:val="nil"/>
              <w:left w:val="nil"/>
              <w:bottom w:val="nil"/>
              <w:right w:val="single" w:sz="4" w:space="0" w:color="auto"/>
            </w:tcBorders>
            <w:shd w:val="clear" w:color="auto" w:fill="auto"/>
            <w:noWrap/>
            <w:vAlign w:val="center"/>
            <w:hideMark/>
          </w:tcPr>
          <w:p w14:paraId="40AA384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nil"/>
              <w:right w:val="nil"/>
            </w:tcBorders>
            <w:shd w:val="clear" w:color="auto" w:fill="auto"/>
            <w:noWrap/>
            <w:vAlign w:val="center"/>
            <w:hideMark/>
          </w:tcPr>
          <w:p w14:paraId="5D3DE9B6"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May-23</w:t>
            </w:r>
          </w:p>
        </w:tc>
        <w:tc>
          <w:tcPr>
            <w:tcW w:w="2446" w:type="dxa"/>
            <w:vMerge w:val="restart"/>
            <w:tcBorders>
              <w:top w:val="nil"/>
              <w:left w:val="nil"/>
              <w:bottom w:val="single" w:sz="4" w:space="0" w:color="000000"/>
              <w:right w:val="nil"/>
            </w:tcBorders>
            <w:shd w:val="clear" w:color="auto" w:fill="auto"/>
            <w:noWrap/>
            <w:vAlign w:val="center"/>
            <w:hideMark/>
          </w:tcPr>
          <w:p w14:paraId="2B3BD6D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Categorical</w:t>
            </w:r>
          </w:p>
        </w:tc>
        <w:tc>
          <w:tcPr>
            <w:tcW w:w="4452" w:type="dxa"/>
            <w:tcBorders>
              <w:top w:val="nil"/>
              <w:left w:val="nil"/>
              <w:bottom w:val="nil"/>
              <w:right w:val="single" w:sz="4" w:space="0" w:color="auto"/>
            </w:tcBorders>
            <w:shd w:val="clear" w:color="auto" w:fill="auto"/>
            <w:vAlign w:val="center"/>
            <w:hideMark/>
          </w:tcPr>
          <w:p w14:paraId="31AEBDC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 xml:space="preserve">Conversion to Cartesian coordinates: PERMANOVA among distance matrices </w:t>
            </w:r>
          </w:p>
        </w:tc>
      </w:tr>
      <w:tr w:rsidR="00EF5EE1" w:rsidRPr="004D4F2F" w14:paraId="7CBCBDCC" w14:textId="77777777" w:rsidTr="00EB1595">
        <w:trPr>
          <w:trHeight w:val="315"/>
          <w:jc w:val="center"/>
        </w:trPr>
        <w:tc>
          <w:tcPr>
            <w:tcW w:w="1242" w:type="dxa"/>
            <w:vMerge/>
            <w:tcBorders>
              <w:left w:val="single" w:sz="4" w:space="0" w:color="auto"/>
              <w:right w:val="nil"/>
            </w:tcBorders>
            <w:shd w:val="clear" w:color="auto" w:fill="auto"/>
            <w:noWrap/>
            <w:vAlign w:val="center"/>
            <w:hideMark/>
          </w:tcPr>
          <w:p w14:paraId="46655CD9"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39A7BEE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Sex</w:t>
            </w:r>
          </w:p>
        </w:tc>
        <w:tc>
          <w:tcPr>
            <w:tcW w:w="1860" w:type="dxa"/>
            <w:tcBorders>
              <w:top w:val="nil"/>
              <w:left w:val="nil"/>
              <w:bottom w:val="nil"/>
              <w:right w:val="single" w:sz="4" w:space="0" w:color="auto"/>
            </w:tcBorders>
            <w:shd w:val="clear" w:color="auto" w:fill="auto"/>
            <w:noWrap/>
            <w:vAlign w:val="center"/>
            <w:hideMark/>
          </w:tcPr>
          <w:p w14:paraId="7353AE7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nil"/>
              <w:right w:val="nil"/>
            </w:tcBorders>
            <w:shd w:val="clear" w:color="auto" w:fill="auto"/>
            <w:noWrap/>
            <w:vAlign w:val="center"/>
            <w:hideMark/>
          </w:tcPr>
          <w:p w14:paraId="6C58B916"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2022-2025</w:t>
            </w:r>
          </w:p>
        </w:tc>
        <w:tc>
          <w:tcPr>
            <w:tcW w:w="2446" w:type="dxa"/>
            <w:vMerge/>
            <w:tcBorders>
              <w:top w:val="nil"/>
              <w:left w:val="nil"/>
              <w:bottom w:val="single" w:sz="4" w:space="0" w:color="000000"/>
              <w:right w:val="nil"/>
            </w:tcBorders>
            <w:vAlign w:val="center"/>
            <w:hideMark/>
          </w:tcPr>
          <w:p w14:paraId="22C1612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tcBorders>
              <w:top w:val="nil"/>
              <w:left w:val="nil"/>
              <w:bottom w:val="nil"/>
              <w:right w:val="single" w:sz="4" w:space="0" w:color="auto"/>
            </w:tcBorders>
            <w:shd w:val="clear" w:color="auto" w:fill="auto"/>
            <w:vAlign w:val="center"/>
            <w:hideMark/>
          </w:tcPr>
          <w:p w14:paraId="6FB7E44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Chi-Squared</w:t>
            </w:r>
          </w:p>
        </w:tc>
      </w:tr>
      <w:tr w:rsidR="00EF5EE1" w:rsidRPr="004D4F2F" w14:paraId="669692C7" w14:textId="77777777" w:rsidTr="00EB1595">
        <w:trPr>
          <w:trHeight w:val="435"/>
          <w:jc w:val="center"/>
        </w:trPr>
        <w:tc>
          <w:tcPr>
            <w:tcW w:w="1242" w:type="dxa"/>
            <w:vMerge/>
            <w:tcBorders>
              <w:left w:val="single" w:sz="4" w:space="0" w:color="auto"/>
              <w:right w:val="nil"/>
            </w:tcBorders>
            <w:shd w:val="clear" w:color="auto" w:fill="auto"/>
            <w:noWrap/>
            <w:vAlign w:val="center"/>
            <w:hideMark/>
          </w:tcPr>
          <w:p w14:paraId="6FCA24D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38F3E49C"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 xml:space="preserve">Growth habit </w:t>
            </w:r>
          </w:p>
        </w:tc>
        <w:tc>
          <w:tcPr>
            <w:tcW w:w="1860" w:type="dxa"/>
            <w:tcBorders>
              <w:top w:val="nil"/>
              <w:left w:val="nil"/>
              <w:bottom w:val="nil"/>
              <w:right w:val="single" w:sz="4" w:space="0" w:color="auto"/>
            </w:tcBorders>
            <w:shd w:val="clear" w:color="auto" w:fill="auto"/>
            <w:noWrap/>
            <w:vAlign w:val="center"/>
            <w:hideMark/>
          </w:tcPr>
          <w:p w14:paraId="7F95F76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single" w:sz="4" w:space="0" w:color="auto"/>
              <w:right w:val="nil"/>
            </w:tcBorders>
            <w:shd w:val="clear" w:color="auto" w:fill="auto"/>
            <w:noWrap/>
            <w:vAlign w:val="center"/>
            <w:hideMark/>
          </w:tcPr>
          <w:p w14:paraId="3742311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Oct-24</w:t>
            </w:r>
          </w:p>
        </w:tc>
        <w:tc>
          <w:tcPr>
            <w:tcW w:w="2446" w:type="dxa"/>
            <w:vMerge/>
            <w:tcBorders>
              <w:top w:val="nil"/>
              <w:left w:val="nil"/>
              <w:bottom w:val="single" w:sz="4" w:space="0" w:color="000000"/>
              <w:right w:val="nil"/>
            </w:tcBorders>
            <w:vAlign w:val="center"/>
            <w:hideMark/>
          </w:tcPr>
          <w:p w14:paraId="0162428F"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tcBorders>
              <w:top w:val="nil"/>
              <w:left w:val="nil"/>
              <w:bottom w:val="single" w:sz="4" w:space="0" w:color="auto"/>
              <w:right w:val="single" w:sz="4" w:space="0" w:color="auto"/>
            </w:tcBorders>
            <w:shd w:val="clear" w:color="auto" w:fill="auto"/>
            <w:noWrap/>
            <w:vAlign w:val="center"/>
            <w:hideMark/>
          </w:tcPr>
          <w:p w14:paraId="31A01D73"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Multinomial Generalized Linear Mixed Model</w:t>
            </w:r>
          </w:p>
        </w:tc>
      </w:tr>
      <w:tr w:rsidR="00EF5EE1" w:rsidRPr="004D4F2F" w14:paraId="349B9EFA" w14:textId="77777777" w:rsidTr="00EB1595">
        <w:trPr>
          <w:trHeight w:val="315"/>
          <w:jc w:val="center"/>
        </w:trPr>
        <w:tc>
          <w:tcPr>
            <w:tcW w:w="1242" w:type="dxa"/>
            <w:vMerge/>
            <w:tcBorders>
              <w:left w:val="single" w:sz="4" w:space="0" w:color="auto"/>
              <w:right w:val="nil"/>
            </w:tcBorders>
            <w:shd w:val="clear" w:color="auto" w:fill="auto"/>
            <w:noWrap/>
            <w:vAlign w:val="center"/>
            <w:hideMark/>
          </w:tcPr>
          <w:p w14:paraId="3989C50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75579E5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Stem length</w:t>
            </w:r>
          </w:p>
        </w:tc>
        <w:tc>
          <w:tcPr>
            <w:tcW w:w="1860" w:type="dxa"/>
            <w:tcBorders>
              <w:top w:val="nil"/>
              <w:left w:val="nil"/>
              <w:bottom w:val="nil"/>
              <w:right w:val="single" w:sz="4" w:space="0" w:color="auto"/>
            </w:tcBorders>
            <w:shd w:val="clear" w:color="auto" w:fill="auto"/>
            <w:noWrap/>
            <w:vAlign w:val="center"/>
            <w:hideMark/>
          </w:tcPr>
          <w:p w14:paraId="3D6152E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St_len</w:t>
            </w:r>
          </w:p>
        </w:tc>
        <w:tc>
          <w:tcPr>
            <w:tcW w:w="2800" w:type="dxa"/>
            <w:vMerge w:val="restart"/>
            <w:tcBorders>
              <w:top w:val="nil"/>
              <w:left w:val="nil"/>
              <w:right w:val="nil"/>
            </w:tcBorders>
            <w:shd w:val="clear" w:color="auto" w:fill="auto"/>
            <w:noWrap/>
            <w:vAlign w:val="center"/>
            <w:hideMark/>
          </w:tcPr>
          <w:p w14:paraId="59B755A4"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Jan-24</w:t>
            </w:r>
          </w:p>
        </w:tc>
        <w:tc>
          <w:tcPr>
            <w:tcW w:w="2446" w:type="dxa"/>
            <w:vMerge w:val="restart"/>
            <w:tcBorders>
              <w:top w:val="nil"/>
              <w:left w:val="nil"/>
              <w:bottom w:val="single" w:sz="8" w:space="0" w:color="000000"/>
              <w:right w:val="nil"/>
            </w:tcBorders>
            <w:shd w:val="clear" w:color="auto" w:fill="auto"/>
            <w:noWrap/>
            <w:vAlign w:val="center"/>
            <w:hideMark/>
          </w:tcPr>
          <w:p w14:paraId="695D64F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Continuous</w:t>
            </w:r>
          </w:p>
        </w:tc>
        <w:tc>
          <w:tcPr>
            <w:tcW w:w="4452" w:type="dxa"/>
            <w:vMerge w:val="restart"/>
            <w:tcBorders>
              <w:top w:val="nil"/>
              <w:left w:val="nil"/>
              <w:bottom w:val="single" w:sz="8" w:space="0" w:color="000000"/>
              <w:right w:val="single" w:sz="4" w:space="0" w:color="auto"/>
            </w:tcBorders>
            <w:shd w:val="clear" w:color="auto" w:fill="auto"/>
            <w:vAlign w:val="center"/>
            <w:hideMark/>
          </w:tcPr>
          <w:p w14:paraId="3EF7699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Generalized linear mixed effect models</w:t>
            </w:r>
          </w:p>
        </w:tc>
      </w:tr>
      <w:tr w:rsidR="00EF5EE1" w:rsidRPr="004D4F2F" w14:paraId="328871E4" w14:textId="77777777" w:rsidTr="00EB1595">
        <w:trPr>
          <w:trHeight w:val="315"/>
          <w:jc w:val="center"/>
        </w:trPr>
        <w:tc>
          <w:tcPr>
            <w:tcW w:w="1242" w:type="dxa"/>
            <w:vMerge/>
            <w:tcBorders>
              <w:left w:val="single" w:sz="4" w:space="0" w:color="auto"/>
              <w:right w:val="nil"/>
            </w:tcBorders>
            <w:shd w:val="clear" w:color="auto" w:fill="auto"/>
            <w:noWrap/>
            <w:vAlign w:val="center"/>
            <w:hideMark/>
          </w:tcPr>
          <w:p w14:paraId="512EA8B9"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060B9B2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Stem diameter</w:t>
            </w:r>
          </w:p>
        </w:tc>
        <w:tc>
          <w:tcPr>
            <w:tcW w:w="1860" w:type="dxa"/>
            <w:tcBorders>
              <w:top w:val="nil"/>
              <w:left w:val="nil"/>
              <w:bottom w:val="nil"/>
              <w:right w:val="single" w:sz="4" w:space="0" w:color="auto"/>
            </w:tcBorders>
            <w:shd w:val="clear" w:color="auto" w:fill="auto"/>
            <w:noWrap/>
            <w:vAlign w:val="center"/>
            <w:hideMark/>
          </w:tcPr>
          <w:p w14:paraId="064ACCE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St_diam</w:t>
            </w:r>
          </w:p>
        </w:tc>
        <w:tc>
          <w:tcPr>
            <w:tcW w:w="2800" w:type="dxa"/>
            <w:vMerge/>
            <w:tcBorders>
              <w:left w:val="nil"/>
              <w:bottom w:val="nil"/>
              <w:right w:val="nil"/>
            </w:tcBorders>
            <w:shd w:val="clear" w:color="auto" w:fill="auto"/>
            <w:noWrap/>
            <w:vAlign w:val="center"/>
            <w:hideMark/>
          </w:tcPr>
          <w:p w14:paraId="7EA38F2F"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446" w:type="dxa"/>
            <w:vMerge/>
            <w:tcBorders>
              <w:top w:val="nil"/>
              <w:left w:val="nil"/>
              <w:bottom w:val="single" w:sz="8" w:space="0" w:color="000000"/>
              <w:right w:val="nil"/>
            </w:tcBorders>
            <w:vAlign w:val="center"/>
            <w:hideMark/>
          </w:tcPr>
          <w:p w14:paraId="63B8F309"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vMerge/>
            <w:tcBorders>
              <w:top w:val="nil"/>
              <w:left w:val="nil"/>
              <w:bottom w:val="single" w:sz="8" w:space="0" w:color="000000"/>
              <w:right w:val="single" w:sz="4" w:space="0" w:color="auto"/>
            </w:tcBorders>
            <w:vAlign w:val="center"/>
            <w:hideMark/>
          </w:tcPr>
          <w:p w14:paraId="49508EF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3F73EB0D" w14:textId="77777777" w:rsidTr="00EB1595">
        <w:trPr>
          <w:trHeight w:val="315"/>
          <w:jc w:val="center"/>
        </w:trPr>
        <w:tc>
          <w:tcPr>
            <w:tcW w:w="1242" w:type="dxa"/>
            <w:vMerge/>
            <w:tcBorders>
              <w:left w:val="single" w:sz="4" w:space="0" w:color="auto"/>
              <w:right w:val="nil"/>
            </w:tcBorders>
            <w:shd w:val="clear" w:color="auto" w:fill="auto"/>
            <w:noWrap/>
            <w:vAlign w:val="center"/>
            <w:hideMark/>
          </w:tcPr>
          <w:p w14:paraId="3786167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2E189684"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Extension</w:t>
            </w:r>
          </w:p>
        </w:tc>
        <w:tc>
          <w:tcPr>
            <w:tcW w:w="1860" w:type="dxa"/>
            <w:tcBorders>
              <w:top w:val="nil"/>
              <w:left w:val="nil"/>
              <w:bottom w:val="nil"/>
              <w:right w:val="single" w:sz="4" w:space="0" w:color="auto"/>
            </w:tcBorders>
            <w:shd w:val="clear" w:color="auto" w:fill="auto"/>
            <w:noWrap/>
            <w:vAlign w:val="center"/>
            <w:hideMark/>
          </w:tcPr>
          <w:p w14:paraId="00532424"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Ext</w:t>
            </w:r>
          </w:p>
        </w:tc>
        <w:tc>
          <w:tcPr>
            <w:tcW w:w="2800" w:type="dxa"/>
            <w:tcBorders>
              <w:top w:val="nil"/>
              <w:left w:val="nil"/>
              <w:bottom w:val="nil"/>
              <w:right w:val="nil"/>
            </w:tcBorders>
            <w:shd w:val="clear" w:color="auto" w:fill="auto"/>
            <w:noWrap/>
            <w:vAlign w:val="center"/>
            <w:hideMark/>
          </w:tcPr>
          <w:p w14:paraId="109E38EC"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Mar-25</w:t>
            </w:r>
          </w:p>
        </w:tc>
        <w:tc>
          <w:tcPr>
            <w:tcW w:w="2446" w:type="dxa"/>
            <w:vMerge/>
            <w:tcBorders>
              <w:top w:val="nil"/>
              <w:left w:val="nil"/>
              <w:bottom w:val="single" w:sz="8" w:space="0" w:color="000000"/>
              <w:right w:val="nil"/>
            </w:tcBorders>
            <w:vAlign w:val="center"/>
            <w:hideMark/>
          </w:tcPr>
          <w:p w14:paraId="20FA5FE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vMerge/>
            <w:tcBorders>
              <w:top w:val="nil"/>
              <w:left w:val="nil"/>
              <w:bottom w:val="single" w:sz="8" w:space="0" w:color="000000"/>
              <w:right w:val="single" w:sz="4" w:space="0" w:color="auto"/>
            </w:tcBorders>
            <w:vAlign w:val="center"/>
            <w:hideMark/>
          </w:tcPr>
          <w:p w14:paraId="403EACB1"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7E8FC40E" w14:textId="77777777" w:rsidTr="00EB1595">
        <w:trPr>
          <w:trHeight w:val="315"/>
          <w:jc w:val="center"/>
        </w:trPr>
        <w:tc>
          <w:tcPr>
            <w:tcW w:w="1242" w:type="dxa"/>
            <w:vMerge/>
            <w:tcBorders>
              <w:left w:val="single" w:sz="4" w:space="0" w:color="auto"/>
              <w:right w:val="nil"/>
            </w:tcBorders>
            <w:shd w:val="clear" w:color="auto" w:fill="auto"/>
            <w:noWrap/>
            <w:vAlign w:val="center"/>
            <w:hideMark/>
          </w:tcPr>
          <w:p w14:paraId="5D0D2903"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5CEB4961"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Needle length (x3)</w:t>
            </w:r>
          </w:p>
        </w:tc>
        <w:tc>
          <w:tcPr>
            <w:tcW w:w="1860" w:type="dxa"/>
            <w:tcBorders>
              <w:top w:val="nil"/>
              <w:left w:val="nil"/>
              <w:bottom w:val="nil"/>
              <w:right w:val="single" w:sz="4" w:space="0" w:color="auto"/>
            </w:tcBorders>
            <w:shd w:val="clear" w:color="auto" w:fill="auto"/>
            <w:noWrap/>
            <w:vAlign w:val="center"/>
            <w:hideMark/>
          </w:tcPr>
          <w:p w14:paraId="496B00A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Nd_len</w:t>
            </w:r>
          </w:p>
        </w:tc>
        <w:tc>
          <w:tcPr>
            <w:tcW w:w="2800" w:type="dxa"/>
            <w:vMerge w:val="restart"/>
            <w:tcBorders>
              <w:top w:val="nil"/>
              <w:left w:val="nil"/>
              <w:right w:val="nil"/>
            </w:tcBorders>
            <w:shd w:val="clear" w:color="auto" w:fill="auto"/>
            <w:noWrap/>
            <w:vAlign w:val="center"/>
            <w:hideMark/>
          </w:tcPr>
          <w:p w14:paraId="2904EE8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Apr-24</w:t>
            </w:r>
          </w:p>
        </w:tc>
        <w:tc>
          <w:tcPr>
            <w:tcW w:w="2446" w:type="dxa"/>
            <w:vMerge/>
            <w:tcBorders>
              <w:top w:val="nil"/>
              <w:left w:val="nil"/>
              <w:bottom w:val="single" w:sz="8" w:space="0" w:color="000000"/>
              <w:right w:val="nil"/>
            </w:tcBorders>
            <w:vAlign w:val="center"/>
            <w:hideMark/>
          </w:tcPr>
          <w:p w14:paraId="3D3F34B7"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vMerge/>
            <w:tcBorders>
              <w:top w:val="nil"/>
              <w:left w:val="nil"/>
              <w:bottom w:val="single" w:sz="8" w:space="0" w:color="000000"/>
              <w:right w:val="single" w:sz="4" w:space="0" w:color="auto"/>
            </w:tcBorders>
            <w:vAlign w:val="center"/>
            <w:hideMark/>
          </w:tcPr>
          <w:p w14:paraId="3CD62680"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45E1075C" w14:textId="77777777" w:rsidTr="00EB1595">
        <w:trPr>
          <w:trHeight w:val="330"/>
          <w:jc w:val="center"/>
        </w:trPr>
        <w:tc>
          <w:tcPr>
            <w:tcW w:w="1242" w:type="dxa"/>
            <w:vMerge/>
            <w:tcBorders>
              <w:left w:val="single" w:sz="4" w:space="0" w:color="auto"/>
              <w:bottom w:val="single" w:sz="8" w:space="0" w:color="auto"/>
              <w:right w:val="nil"/>
            </w:tcBorders>
            <w:shd w:val="clear" w:color="auto" w:fill="auto"/>
            <w:noWrap/>
            <w:vAlign w:val="center"/>
            <w:hideMark/>
          </w:tcPr>
          <w:p w14:paraId="6C6138D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single" w:sz="8" w:space="0" w:color="auto"/>
              <w:right w:val="nil"/>
            </w:tcBorders>
            <w:shd w:val="clear" w:color="auto" w:fill="auto"/>
            <w:noWrap/>
            <w:vAlign w:val="center"/>
            <w:hideMark/>
          </w:tcPr>
          <w:p w14:paraId="68CE250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Needle width (x3)</w:t>
            </w:r>
          </w:p>
        </w:tc>
        <w:tc>
          <w:tcPr>
            <w:tcW w:w="1860" w:type="dxa"/>
            <w:tcBorders>
              <w:top w:val="nil"/>
              <w:left w:val="nil"/>
              <w:bottom w:val="single" w:sz="8" w:space="0" w:color="auto"/>
              <w:right w:val="single" w:sz="4" w:space="0" w:color="auto"/>
            </w:tcBorders>
            <w:shd w:val="clear" w:color="auto" w:fill="auto"/>
            <w:noWrap/>
            <w:vAlign w:val="center"/>
            <w:hideMark/>
          </w:tcPr>
          <w:p w14:paraId="476EB1A4"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Nd_wid</w:t>
            </w:r>
          </w:p>
        </w:tc>
        <w:tc>
          <w:tcPr>
            <w:tcW w:w="2800" w:type="dxa"/>
            <w:vMerge/>
            <w:tcBorders>
              <w:left w:val="nil"/>
              <w:bottom w:val="single" w:sz="8" w:space="0" w:color="auto"/>
              <w:right w:val="nil"/>
            </w:tcBorders>
            <w:shd w:val="clear" w:color="auto" w:fill="auto"/>
            <w:noWrap/>
            <w:vAlign w:val="center"/>
            <w:hideMark/>
          </w:tcPr>
          <w:p w14:paraId="7CA1BA5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446" w:type="dxa"/>
            <w:vMerge/>
            <w:tcBorders>
              <w:top w:val="nil"/>
              <w:left w:val="nil"/>
              <w:bottom w:val="single" w:sz="8" w:space="0" w:color="000000"/>
              <w:right w:val="nil"/>
            </w:tcBorders>
            <w:vAlign w:val="center"/>
            <w:hideMark/>
          </w:tcPr>
          <w:p w14:paraId="63768CAC"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vMerge/>
            <w:tcBorders>
              <w:top w:val="nil"/>
              <w:left w:val="nil"/>
              <w:bottom w:val="single" w:sz="8" w:space="0" w:color="000000"/>
              <w:right w:val="single" w:sz="4" w:space="0" w:color="auto"/>
            </w:tcBorders>
            <w:vAlign w:val="center"/>
            <w:hideMark/>
          </w:tcPr>
          <w:p w14:paraId="55FF8012"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1C9DDEAB" w14:textId="77777777" w:rsidTr="00EB1595">
        <w:trPr>
          <w:trHeight w:val="315"/>
          <w:jc w:val="center"/>
        </w:trPr>
        <w:tc>
          <w:tcPr>
            <w:tcW w:w="1242" w:type="dxa"/>
            <w:vMerge w:val="restart"/>
            <w:tcBorders>
              <w:top w:val="nil"/>
              <w:left w:val="single" w:sz="4" w:space="0" w:color="auto"/>
              <w:right w:val="nil"/>
            </w:tcBorders>
            <w:shd w:val="clear" w:color="auto" w:fill="auto"/>
            <w:noWrap/>
            <w:vAlign w:val="center"/>
            <w:hideMark/>
          </w:tcPr>
          <w:p w14:paraId="64E41F93"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Phenology </w:t>
            </w:r>
          </w:p>
        </w:tc>
        <w:tc>
          <w:tcPr>
            <w:tcW w:w="2346" w:type="dxa"/>
            <w:tcBorders>
              <w:top w:val="nil"/>
              <w:left w:val="nil"/>
              <w:bottom w:val="nil"/>
              <w:right w:val="nil"/>
            </w:tcBorders>
            <w:shd w:val="clear" w:color="auto" w:fill="auto"/>
            <w:noWrap/>
            <w:vAlign w:val="center"/>
            <w:hideMark/>
          </w:tcPr>
          <w:p w14:paraId="1E9C2B5D"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BB phenology</w:t>
            </w:r>
          </w:p>
        </w:tc>
        <w:tc>
          <w:tcPr>
            <w:tcW w:w="1860" w:type="dxa"/>
            <w:tcBorders>
              <w:top w:val="nil"/>
              <w:left w:val="nil"/>
              <w:bottom w:val="nil"/>
              <w:right w:val="single" w:sz="4" w:space="0" w:color="auto"/>
            </w:tcBorders>
            <w:shd w:val="clear" w:color="auto" w:fill="auto"/>
            <w:noWrap/>
            <w:vAlign w:val="center"/>
            <w:hideMark/>
          </w:tcPr>
          <w:p w14:paraId="683843E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BB</w:t>
            </w:r>
          </w:p>
        </w:tc>
        <w:tc>
          <w:tcPr>
            <w:tcW w:w="2800" w:type="dxa"/>
            <w:tcBorders>
              <w:top w:val="nil"/>
              <w:left w:val="nil"/>
              <w:bottom w:val="nil"/>
              <w:right w:val="nil"/>
            </w:tcBorders>
            <w:shd w:val="clear" w:color="auto" w:fill="auto"/>
            <w:noWrap/>
            <w:vAlign w:val="center"/>
            <w:hideMark/>
          </w:tcPr>
          <w:p w14:paraId="5192132A"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April-May 2022-2025</w:t>
            </w:r>
          </w:p>
        </w:tc>
        <w:tc>
          <w:tcPr>
            <w:tcW w:w="2446" w:type="dxa"/>
            <w:vMerge w:val="restart"/>
            <w:tcBorders>
              <w:top w:val="nil"/>
              <w:left w:val="nil"/>
              <w:bottom w:val="single" w:sz="8" w:space="0" w:color="000000"/>
              <w:right w:val="nil"/>
            </w:tcBorders>
            <w:shd w:val="clear" w:color="auto" w:fill="auto"/>
            <w:noWrap/>
            <w:vAlign w:val="center"/>
            <w:hideMark/>
          </w:tcPr>
          <w:p w14:paraId="6BF6241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 xml:space="preserve">Ordinal repeat measures </w:t>
            </w:r>
          </w:p>
        </w:tc>
        <w:tc>
          <w:tcPr>
            <w:tcW w:w="4452" w:type="dxa"/>
            <w:vMerge w:val="restart"/>
            <w:tcBorders>
              <w:top w:val="nil"/>
              <w:left w:val="nil"/>
              <w:bottom w:val="single" w:sz="8" w:space="0" w:color="000000"/>
              <w:right w:val="single" w:sz="4" w:space="0" w:color="auto"/>
            </w:tcBorders>
            <w:shd w:val="clear" w:color="auto" w:fill="auto"/>
            <w:vAlign w:val="center"/>
            <w:hideMark/>
          </w:tcPr>
          <w:p w14:paraId="5CD2C35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Cumulative-link mixed modelling</w:t>
            </w:r>
          </w:p>
        </w:tc>
      </w:tr>
      <w:tr w:rsidR="00EF5EE1" w:rsidRPr="004D4F2F" w14:paraId="14C3DE3C" w14:textId="77777777" w:rsidTr="00EB1595">
        <w:trPr>
          <w:trHeight w:val="450"/>
          <w:jc w:val="center"/>
        </w:trPr>
        <w:tc>
          <w:tcPr>
            <w:tcW w:w="1242" w:type="dxa"/>
            <w:vMerge/>
            <w:tcBorders>
              <w:left w:val="single" w:sz="4" w:space="0" w:color="auto"/>
              <w:bottom w:val="single" w:sz="8" w:space="0" w:color="auto"/>
              <w:right w:val="nil"/>
            </w:tcBorders>
            <w:shd w:val="clear" w:color="auto" w:fill="auto"/>
            <w:noWrap/>
            <w:vAlign w:val="center"/>
            <w:hideMark/>
          </w:tcPr>
          <w:p w14:paraId="6F7400B6"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single" w:sz="8" w:space="0" w:color="auto"/>
              <w:right w:val="nil"/>
            </w:tcBorders>
            <w:shd w:val="clear" w:color="auto" w:fill="auto"/>
            <w:noWrap/>
            <w:vAlign w:val="center"/>
            <w:hideMark/>
          </w:tcPr>
          <w:p w14:paraId="504C47F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Strobilus phenology</w:t>
            </w:r>
          </w:p>
        </w:tc>
        <w:tc>
          <w:tcPr>
            <w:tcW w:w="1860" w:type="dxa"/>
            <w:tcBorders>
              <w:top w:val="nil"/>
              <w:left w:val="nil"/>
              <w:bottom w:val="single" w:sz="8" w:space="0" w:color="auto"/>
              <w:right w:val="single" w:sz="4" w:space="0" w:color="auto"/>
            </w:tcBorders>
            <w:shd w:val="clear" w:color="auto" w:fill="auto"/>
            <w:noWrap/>
            <w:vAlign w:val="center"/>
            <w:hideMark/>
          </w:tcPr>
          <w:p w14:paraId="1971C6B1"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single" w:sz="8" w:space="0" w:color="auto"/>
              <w:right w:val="nil"/>
            </w:tcBorders>
            <w:shd w:val="clear" w:color="auto" w:fill="auto"/>
            <w:noWrap/>
            <w:vAlign w:val="center"/>
            <w:hideMark/>
          </w:tcPr>
          <w:p w14:paraId="3CE046B9"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April-May 2025</w:t>
            </w:r>
          </w:p>
        </w:tc>
        <w:tc>
          <w:tcPr>
            <w:tcW w:w="2446" w:type="dxa"/>
            <w:vMerge/>
            <w:tcBorders>
              <w:top w:val="nil"/>
              <w:left w:val="nil"/>
              <w:bottom w:val="single" w:sz="8" w:space="0" w:color="000000"/>
              <w:right w:val="nil"/>
            </w:tcBorders>
            <w:vAlign w:val="center"/>
            <w:hideMark/>
          </w:tcPr>
          <w:p w14:paraId="0305F98F"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c>
          <w:tcPr>
            <w:tcW w:w="4452" w:type="dxa"/>
            <w:vMerge/>
            <w:tcBorders>
              <w:top w:val="nil"/>
              <w:left w:val="nil"/>
              <w:bottom w:val="single" w:sz="8" w:space="0" w:color="000000"/>
              <w:right w:val="single" w:sz="4" w:space="0" w:color="auto"/>
            </w:tcBorders>
            <w:vAlign w:val="center"/>
            <w:hideMark/>
          </w:tcPr>
          <w:p w14:paraId="174387F7" w14:textId="77777777" w:rsidR="00EF5EE1" w:rsidRPr="004D4F2F" w:rsidRDefault="00EF5EE1" w:rsidP="00EB1595">
            <w:pPr>
              <w:spacing w:after="0" w:line="276" w:lineRule="auto"/>
              <w:rPr>
                <w:rFonts w:ascii="Arial" w:eastAsia="Times New Roman" w:hAnsi="Arial" w:cs="Arial"/>
                <w:color w:val="000000"/>
                <w:kern w:val="0"/>
                <w:lang w:eastAsia="en-GB"/>
                <w14:ligatures w14:val="none"/>
              </w:rPr>
            </w:pPr>
          </w:p>
        </w:tc>
      </w:tr>
      <w:tr w:rsidR="00EF5EE1" w:rsidRPr="004D4F2F" w14:paraId="51368769" w14:textId="77777777" w:rsidTr="00EB1595">
        <w:trPr>
          <w:trHeight w:val="630"/>
          <w:jc w:val="center"/>
        </w:trPr>
        <w:tc>
          <w:tcPr>
            <w:tcW w:w="1242" w:type="dxa"/>
            <w:vMerge w:val="restart"/>
            <w:tcBorders>
              <w:top w:val="nil"/>
              <w:left w:val="single" w:sz="4" w:space="0" w:color="auto"/>
              <w:right w:val="nil"/>
            </w:tcBorders>
            <w:shd w:val="clear" w:color="auto" w:fill="auto"/>
            <w:noWrap/>
            <w:vAlign w:val="center"/>
            <w:hideMark/>
          </w:tcPr>
          <w:p w14:paraId="3931639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Health</w:t>
            </w:r>
          </w:p>
        </w:tc>
        <w:tc>
          <w:tcPr>
            <w:tcW w:w="2346" w:type="dxa"/>
            <w:tcBorders>
              <w:top w:val="nil"/>
              <w:left w:val="nil"/>
              <w:bottom w:val="nil"/>
              <w:right w:val="nil"/>
            </w:tcBorders>
            <w:shd w:val="clear" w:color="auto" w:fill="auto"/>
            <w:noWrap/>
            <w:vAlign w:val="center"/>
            <w:hideMark/>
          </w:tcPr>
          <w:p w14:paraId="36C554E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Chlorophyll fluorescence</w:t>
            </w:r>
          </w:p>
        </w:tc>
        <w:tc>
          <w:tcPr>
            <w:tcW w:w="1860" w:type="dxa"/>
            <w:tcBorders>
              <w:top w:val="nil"/>
              <w:left w:val="nil"/>
              <w:bottom w:val="nil"/>
              <w:right w:val="single" w:sz="4" w:space="0" w:color="auto"/>
            </w:tcBorders>
            <w:shd w:val="clear" w:color="auto" w:fill="auto"/>
            <w:noWrap/>
            <w:vAlign w:val="center"/>
            <w:hideMark/>
          </w:tcPr>
          <w:p w14:paraId="4B5696E7"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CF</w:t>
            </w:r>
          </w:p>
        </w:tc>
        <w:tc>
          <w:tcPr>
            <w:tcW w:w="2800" w:type="dxa"/>
            <w:tcBorders>
              <w:top w:val="nil"/>
              <w:left w:val="nil"/>
              <w:bottom w:val="nil"/>
              <w:right w:val="nil"/>
            </w:tcBorders>
            <w:shd w:val="clear" w:color="auto" w:fill="auto"/>
            <w:noWrap/>
            <w:vAlign w:val="center"/>
            <w:hideMark/>
          </w:tcPr>
          <w:p w14:paraId="53E8013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February-March 2024</w:t>
            </w:r>
          </w:p>
        </w:tc>
        <w:tc>
          <w:tcPr>
            <w:tcW w:w="2446" w:type="dxa"/>
            <w:tcBorders>
              <w:top w:val="nil"/>
              <w:left w:val="nil"/>
              <w:bottom w:val="nil"/>
              <w:right w:val="nil"/>
            </w:tcBorders>
            <w:shd w:val="clear" w:color="auto" w:fill="auto"/>
            <w:noWrap/>
            <w:vAlign w:val="center"/>
            <w:hideMark/>
          </w:tcPr>
          <w:p w14:paraId="0683B15E"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Ratio</w:t>
            </w:r>
          </w:p>
        </w:tc>
        <w:tc>
          <w:tcPr>
            <w:tcW w:w="4452" w:type="dxa"/>
            <w:tcBorders>
              <w:top w:val="nil"/>
              <w:left w:val="nil"/>
              <w:bottom w:val="nil"/>
              <w:right w:val="single" w:sz="4" w:space="0" w:color="auto"/>
            </w:tcBorders>
            <w:shd w:val="clear" w:color="auto" w:fill="auto"/>
            <w:vAlign w:val="center"/>
            <w:hideMark/>
          </w:tcPr>
          <w:p w14:paraId="05380578"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Beta (Fv/Fm in bonded) linear mixed effect models</w:t>
            </w:r>
          </w:p>
        </w:tc>
      </w:tr>
      <w:tr w:rsidR="00EF5EE1" w:rsidRPr="004D4F2F" w14:paraId="02870FC2" w14:textId="77777777" w:rsidTr="00EB1595">
        <w:trPr>
          <w:trHeight w:val="315"/>
          <w:jc w:val="center"/>
        </w:trPr>
        <w:tc>
          <w:tcPr>
            <w:tcW w:w="1242" w:type="dxa"/>
            <w:vMerge/>
            <w:tcBorders>
              <w:left w:val="single" w:sz="4" w:space="0" w:color="auto"/>
              <w:right w:val="nil"/>
            </w:tcBorders>
            <w:shd w:val="clear" w:color="auto" w:fill="auto"/>
            <w:noWrap/>
            <w:vAlign w:val="bottom"/>
            <w:hideMark/>
          </w:tcPr>
          <w:p w14:paraId="33F5B78A"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nil"/>
              <w:right w:val="nil"/>
            </w:tcBorders>
            <w:shd w:val="clear" w:color="auto" w:fill="auto"/>
            <w:noWrap/>
            <w:vAlign w:val="center"/>
            <w:hideMark/>
          </w:tcPr>
          <w:p w14:paraId="748EEE4A"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Health</w:t>
            </w:r>
          </w:p>
        </w:tc>
        <w:tc>
          <w:tcPr>
            <w:tcW w:w="1860" w:type="dxa"/>
            <w:tcBorders>
              <w:top w:val="nil"/>
              <w:left w:val="nil"/>
              <w:bottom w:val="nil"/>
              <w:right w:val="single" w:sz="4" w:space="0" w:color="auto"/>
            </w:tcBorders>
            <w:shd w:val="clear" w:color="auto" w:fill="auto"/>
            <w:noWrap/>
            <w:vAlign w:val="center"/>
            <w:hideMark/>
          </w:tcPr>
          <w:p w14:paraId="2A587FD3"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nil"/>
              <w:right w:val="nil"/>
            </w:tcBorders>
            <w:shd w:val="clear" w:color="auto" w:fill="auto"/>
            <w:noWrap/>
            <w:vAlign w:val="center"/>
            <w:hideMark/>
          </w:tcPr>
          <w:p w14:paraId="202C8DB5"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Oct-24</w:t>
            </w:r>
          </w:p>
        </w:tc>
        <w:tc>
          <w:tcPr>
            <w:tcW w:w="2446" w:type="dxa"/>
            <w:tcBorders>
              <w:top w:val="nil"/>
              <w:left w:val="nil"/>
              <w:bottom w:val="nil"/>
              <w:right w:val="nil"/>
            </w:tcBorders>
            <w:shd w:val="clear" w:color="auto" w:fill="auto"/>
            <w:noWrap/>
            <w:vAlign w:val="center"/>
            <w:hideMark/>
          </w:tcPr>
          <w:p w14:paraId="68451A3D"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Proportional</w:t>
            </w:r>
          </w:p>
        </w:tc>
        <w:tc>
          <w:tcPr>
            <w:tcW w:w="4452" w:type="dxa"/>
            <w:tcBorders>
              <w:top w:val="nil"/>
              <w:left w:val="nil"/>
              <w:bottom w:val="nil"/>
              <w:right w:val="single" w:sz="4" w:space="0" w:color="auto"/>
            </w:tcBorders>
            <w:shd w:val="clear" w:color="auto" w:fill="auto"/>
            <w:vAlign w:val="center"/>
            <w:hideMark/>
          </w:tcPr>
          <w:p w14:paraId="3E0C8CEC"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Beta-distribution linear mixed effect models</w:t>
            </w:r>
          </w:p>
        </w:tc>
      </w:tr>
      <w:tr w:rsidR="00EF5EE1" w:rsidRPr="004D4F2F" w14:paraId="1151F8AC" w14:textId="77777777" w:rsidTr="00EB1595">
        <w:trPr>
          <w:trHeight w:val="315"/>
          <w:jc w:val="center"/>
        </w:trPr>
        <w:tc>
          <w:tcPr>
            <w:tcW w:w="1242" w:type="dxa"/>
            <w:vMerge/>
            <w:tcBorders>
              <w:left w:val="single" w:sz="4" w:space="0" w:color="auto"/>
              <w:bottom w:val="single" w:sz="4" w:space="0" w:color="auto"/>
              <w:right w:val="nil"/>
            </w:tcBorders>
            <w:shd w:val="clear" w:color="auto" w:fill="auto"/>
            <w:noWrap/>
            <w:vAlign w:val="center"/>
            <w:hideMark/>
          </w:tcPr>
          <w:p w14:paraId="127426AC"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p>
        </w:tc>
        <w:tc>
          <w:tcPr>
            <w:tcW w:w="2346" w:type="dxa"/>
            <w:tcBorders>
              <w:top w:val="nil"/>
              <w:left w:val="nil"/>
              <w:bottom w:val="single" w:sz="4" w:space="0" w:color="auto"/>
              <w:right w:val="nil"/>
            </w:tcBorders>
            <w:shd w:val="clear" w:color="auto" w:fill="auto"/>
            <w:noWrap/>
            <w:vAlign w:val="center"/>
            <w:hideMark/>
          </w:tcPr>
          <w:p w14:paraId="0CFC59E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Deaths</w:t>
            </w:r>
          </w:p>
        </w:tc>
        <w:tc>
          <w:tcPr>
            <w:tcW w:w="1860" w:type="dxa"/>
            <w:tcBorders>
              <w:top w:val="nil"/>
              <w:left w:val="nil"/>
              <w:bottom w:val="single" w:sz="4" w:space="0" w:color="auto"/>
              <w:right w:val="single" w:sz="4" w:space="0" w:color="auto"/>
            </w:tcBorders>
            <w:shd w:val="clear" w:color="auto" w:fill="auto"/>
            <w:noWrap/>
            <w:vAlign w:val="center"/>
            <w:hideMark/>
          </w:tcPr>
          <w:p w14:paraId="48109222"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none</w:t>
            </w:r>
          </w:p>
        </w:tc>
        <w:tc>
          <w:tcPr>
            <w:tcW w:w="2800" w:type="dxa"/>
            <w:tcBorders>
              <w:top w:val="nil"/>
              <w:left w:val="nil"/>
              <w:bottom w:val="single" w:sz="4" w:space="0" w:color="auto"/>
              <w:right w:val="nil"/>
            </w:tcBorders>
            <w:shd w:val="clear" w:color="auto" w:fill="auto"/>
            <w:noWrap/>
            <w:vAlign w:val="center"/>
            <w:hideMark/>
          </w:tcPr>
          <w:p w14:paraId="3EC2FF30"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March 2024-March 2025</w:t>
            </w:r>
          </w:p>
        </w:tc>
        <w:tc>
          <w:tcPr>
            <w:tcW w:w="2446" w:type="dxa"/>
            <w:tcBorders>
              <w:top w:val="nil"/>
              <w:left w:val="nil"/>
              <w:bottom w:val="single" w:sz="4" w:space="0" w:color="auto"/>
              <w:right w:val="nil"/>
            </w:tcBorders>
            <w:shd w:val="clear" w:color="auto" w:fill="auto"/>
            <w:noWrap/>
            <w:vAlign w:val="center"/>
            <w:hideMark/>
          </w:tcPr>
          <w:p w14:paraId="59C4B04C"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 xml:space="preserve">Binary </w:t>
            </w:r>
          </w:p>
        </w:tc>
        <w:tc>
          <w:tcPr>
            <w:tcW w:w="4452" w:type="dxa"/>
            <w:tcBorders>
              <w:top w:val="nil"/>
              <w:left w:val="nil"/>
              <w:bottom w:val="single" w:sz="4" w:space="0" w:color="auto"/>
              <w:right w:val="single" w:sz="4" w:space="0" w:color="auto"/>
            </w:tcBorders>
            <w:shd w:val="clear" w:color="auto" w:fill="auto"/>
            <w:vAlign w:val="center"/>
            <w:hideMark/>
          </w:tcPr>
          <w:p w14:paraId="69AC47F9" w14:textId="77777777" w:rsidR="00EF5EE1" w:rsidRPr="004D4F2F" w:rsidRDefault="00EF5EE1" w:rsidP="00EB1595">
            <w:pPr>
              <w:spacing w:after="0" w:line="276" w:lineRule="auto"/>
              <w:jc w:val="center"/>
              <w:rPr>
                <w:rFonts w:ascii="Arial" w:eastAsia="Times New Roman" w:hAnsi="Arial" w:cs="Arial"/>
                <w:color w:val="000000"/>
                <w:kern w:val="0"/>
                <w:lang w:eastAsia="en-GB"/>
                <w14:ligatures w14:val="none"/>
              </w:rPr>
            </w:pPr>
            <w:r w:rsidRPr="004D4F2F">
              <w:rPr>
                <w:rFonts w:ascii="Arial" w:eastAsia="Times New Roman" w:hAnsi="Arial" w:cs="Arial"/>
                <w:color w:val="000000"/>
                <w:kern w:val="0"/>
                <w:lang w:eastAsia="en-GB"/>
                <w14:ligatures w14:val="none"/>
              </w:rPr>
              <w:t>Chi-Squared</w:t>
            </w:r>
          </w:p>
        </w:tc>
      </w:tr>
    </w:tbl>
    <w:p w14:paraId="10BD9077" w14:textId="77777777" w:rsidR="00EF5EE1" w:rsidRPr="004D4F2F" w:rsidRDefault="00EF5EE1" w:rsidP="00EF5EE1">
      <w:pPr>
        <w:spacing w:line="276" w:lineRule="auto"/>
        <w:jc w:val="center"/>
        <w:rPr>
          <w:rFonts w:ascii="Arial" w:hAnsi="Arial" w:cs="Arial"/>
          <w:i/>
          <w:iCs/>
          <w:sz w:val="24"/>
          <w:szCs w:val="24"/>
        </w:rPr>
        <w:sectPr w:rsidR="00EF5EE1" w:rsidRPr="004D4F2F" w:rsidSect="00050E2E">
          <w:type w:val="continuous"/>
          <w:pgSz w:w="16840" w:h="11907" w:code="9"/>
          <w:pgMar w:top="1440" w:right="1440" w:bottom="1440" w:left="1440" w:header="709" w:footer="709" w:gutter="0"/>
          <w:cols w:space="708"/>
          <w:docGrid w:linePitch="360"/>
        </w:sectPr>
      </w:pPr>
    </w:p>
    <w:p w14:paraId="535BDEA0" w14:textId="77777777" w:rsidR="00EF5EE1" w:rsidRPr="004D4F2F" w:rsidRDefault="00EF5EE1" w:rsidP="00EF5EE1">
      <w:pPr>
        <w:spacing w:after="0" w:line="276" w:lineRule="auto"/>
        <w:rPr>
          <w:rFonts w:ascii="Arial" w:eastAsia="Times New Roman" w:hAnsi="Arial" w:cs="Arial"/>
          <w:i/>
          <w:iCs/>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lastRenderedPageBreak/>
        <w:t>Quantitative measurements:</w:t>
      </w:r>
    </w:p>
    <w:p w14:paraId="06787F36"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Quantitative phenotypic measurements included needle Munsell colour codes (June 2023), stem diameter (St_diam) and length (St_len) (January 2024), annual stem growth increment (Extension; Ext) (March 2025), needle length and width (Nd_len, Nd_wid, respectively) (June 2024) and growth habit (September 2024). </w:t>
      </w:r>
    </w:p>
    <w:p w14:paraId="57B50159"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hAnsi="Arial" w:cs="Arial"/>
          <w:sz w:val="24"/>
          <w:szCs w:val="24"/>
        </w:rPr>
        <w:tab/>
      </w:r>
      <w:r w:rsidRPr="004D4F2F">
        <w:rPr>
          <w:rFonts w:ascii="Arial" w:eastAsia="Times New Roman" w:hAnsi="Arial" w:cs="Arial"/>
          <w:i/>
          <w:iCs/>
          <w:color w:val="000000"/>
          <w:kern w:val="0"/>
          <w:sz w:val="24"/>
          <w:szCs w:val="24"/>
          <w:lang w:eastAsia="en-GB"/>
          <w14:ligatures w14:val="none"/>
        </w:rPr>
        <w:t xml:space="preserve">Stem width and length: </w:t>
      </w:r>
      <w:r w:rsidRPr="004D4F2F">
        <w:rPr>
          <w:rFonts w:ascii="Arial" w:eastAsia="Times New Roman" w:hAnsi="Arial" w:cs="Arial"/>
          <w:color w:val="000000"/>
          <w:kern w:val="0"/>
          <w:sz w:val="24"/>
          <w:szCs w:val="24"/>
          <w:lang w:eastAsia="en-GB"/>
          <w14:ligatures w14:val="none"/>
        </w:rPr>
        <w:t xml:space="preserve">We measured the width of the largest stem (St_wid) of each plant as close to the root collar as possible using Manutan 0-150 mm electronic callipers, recording in millimetres to the nearest hundredth. The stem length (St_len) was measured from the root collar to the tip of the longest branch for each plant using measuring tape in centimetres to the closest </w:t>
      </w:r>
      <w:r>
        <w:rPr>
          <w:rFonts w:ascii="Arial" w:eastAsia="Times New Roman" w:hAnsi="Arial" w:cs="Arial"/>
          <w:color w:val="000000"/>
          <w:kern w:val="0"/>
          <w:sz w:val="24"/>
          <w:szCs w:val="24"/>
          <w:lang w:eastAsia="en-GB"/>
          <w14:ligatures w14:val="none"/>
        </w:rPr>
        <w:t>millimetre</w:t>
      </w:r>
      <w:r w:rsidRPr="004D4F2F">
        <w:rPr>
          <w:rFonts w:ascii="Arial" w:eastAsia="Times New Roman" w:hAnsi="Arial" w:cs="Arial"/>
          <w:color w:val="000000"/>
          <w:kern w:val="0"/>
          <w:sz w:val="24"/>
          <w:szCs w:val="24"/>
          <w:lang w:eastAsia="en-GB"/>
          <w14:ligatures w14:val="none"/>
        </w:rPr>
        <w:t xml:space="preserve">. These measurements were taken by four different researchers, so their identity (termed “stem measurer” in the following) was also recorded to allow for potential observer bias to be accounted for. The stem size measurements were taken before the 2024 growing season as a baseline for the annual growth increment measurements, which are meant to represent the annual growth of plants during 2024, and which were therefore taken prior to bud burst the following spring. The stem size measurements were also delayed until 2024 to allow time for plants to recover from the shock of being transplanted from a greenhouse to a field site. </w:t>
      </w:r>
    </w:p>
    <w:p w14:paraId="56019F27" w14:textId="77777777" w:rsidR="00EF5EE1" w:rsidRPr="004D4F2F" w:rsidRDefault="00EF5EE1" w:rsidP="00EF5EE1">
      <w:pPr>
        <w:spacing w:after="0" w:line="276" w:lineRule="auto"/>
        <w:ind w:firstLine="720"/>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 xml:space="preserve">Extension: </w:t>
      </w:r>
      <w:r w:rsidRPr="004D4F2F">
        <w:rPr>
          <w:rFonts w:ascii="Arial" w:eastAsia="Times New Roman" w:hAnsi="Arial" w:cs="Arial"/>
          <w:color w:val="000000"/>
          <w:kern w:val="0"/>
          <w:sz w:val="24"/>
          <w:szCs w:val="24"/>
          <w:lang w:eastAsia="en-GB"/>
          <w14:ligatures w14:val="none"/>
        </w:rPr>
        <w:t xml:space="preserve">Annual growth increment, or extension (Ext), was measured as the length from the tips of branches to the internode from which the previous year’s growth had initiated using Manutan 0-150 mm electronic callipers in millimetres to the nearest hundredth decimal. Internodes were identified as the transition at which the stem visibly changed from the more pliable, lighter colour of the current season’s growth to the more woody and darker coloured growth of the previous year (Figure 3). The more mature parts of the stems were also characterised by denser foliage and the presence of more branching.  </w:t>
      </w:r>
    </w:p>
    <w:p w14:paraId="1743839F" w14:textId="77777777" w:rsidR="00EF5EE1" w:rsidRPr="004D4F2F" w:rsidRDefault="00EF5EE1" w:rsidP="00EF5EE1">
      <w:pPr>
        <w:keepNext/>
        <w:spacing w:after="0" w:line="276" w:lineRule="auto"/>
        <w:ind w:firstLine="720"/>
        <w:jc w:val="center"/>
        <w:rPr>
          <w:rFonts w:ascii="Arial" w:hAnsi="Arial" w:cs="Arial"/>
          <w:sz w:val="24"/>
          <w:szCs w:val="24"/>
        </w:rPr>
      </w:pPr>
      <w:r w:rsidRPr="004D4F2F">
        <w:rPr>
          <w:rFonts w:ascii="Arial" w:eastAsia="Times New Roman" w:hAnsi="Arial" w:cs="Arial"/>
          <w:noProof/>
          <w:color w:val="000000"/>
          <w:kern w:val="0"/>
          <w:sz w:val="24"/>
          <w:szCs w:val="24"/>
          <w:lang w:eastAsia="en-GB"/>
          <w14:ligatures w14:val="none"/>
        </w:rPr>
        <w:lastRenderedPageBreak/>
        <w:drawing>
          <wp:inline distT="0" distB="0" distL="0" distR="0" wp14:anchorId="092114D5" wp14:editId="5528DC43">
            <wp:extent cx="3527952" cy="4702629"/>
            <wp:effectExtent l="0" t="0" r="0" b="3175"/>
            <wp:docPr id="913800284" name="Picture 2" descr="A close up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3800284" name="Picture 2" descr="A close up of a plant&#10;&#10;AI-generated content may be incorrect."/>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55039" cy="4738735"/>
                    </a:xfrm>
                    <a:prstGeom prst="rect">
                      <a:avLst/>
                    </a:prstGeom>
                    <a:noFill/>
                  </pic:spPr>
                </pic:pic>
              </a:graphicData>
            </a:graphic>
          </wp:inline>
        </w:drawing>
      </w:r>
    </w:p>
    <w:p w14:paraId="141D262F" w14:textId="77777777" w:rsidR="00EF5EE1" w:rsidRPr="004D4F2F" w:rsidRDefault="00EF5EE1" w:rsidP="00EF5EE1">
      <w:pPr>
        <w:pStyle w:val="Caption"/>
        <w:spacing w:line="276" w:lineRule="auto"/>
        <w:jc w:val="center"/>
        <w:rPr>
          <w:rFonts w:ascii="Arial" w:hAnsi="Arial" w:cs="Arial"/>
          <w:vanish/>
          <w:sz w:val="24"/>
          <w:szCs w:val="24"/>
          <w:specVanish/>
        </w:rPr>
      </w:pPr>
      <w:bookmarkStart w:id="12" w:name="_Toc211594129"/>
      <w:bookmarkStart w:id="13" w:name="_Toc212797467"/>
      <w:r w:rsidRPr="004D4F2F">
        <w:rPr>
          <w:rFonts w:ascii="Arial" w:hAnsi="Arial" w:cs="Arial"/>
          <w:sz w:val="24"/>
          <w:szCs w:val="24"/>
        </w:rPr>
        <w:t xml:space="preserve">Figure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2</w:t>
      </w:r>
      <w:r w:rsidRPr="004D4F2F">
        <w:rPr>
          <w:rFonts w:ascii="Arial" w:hAnsi="Arial" w:cs="Arial"/>
          <w:sz w:val="24"/>
          <w:szCs w:val="24"/>
        </w:rPr>
        <w:fldChar w:fldCharType="end"/>
      </w:r>
      <w:r w:rsidRPr="004D4F2F">
        <w:rPr>
          <w:rFonts w:ascii="Arial" w:hAnsi="Arial" w:cs="Arial"/>
          <w:sz w:val="24"/>
          <w:szCs w:val="24"/>
        </w:rPr>
        <w:t>: Example image of the difference between younger stem growth (above purple line) and older stem growth (below purple line).</w:t>
      </w:r>
      <w:bookmarkEnd w:id="12"/>
      <w:bookmarkEnd w:id="13"/>
    </w:p>
    <w:p w14:paraId="3D4E8E20" w14:textId="117FEB83" w:rsidR="00EF5EE1" w:rsidRPr="004D4F2F" w:rsidRDefault="00EF5EE1" w:rsidP="00EF5EE1">
      <w:pPr>
        <w:pStyle w:val="Caption"/>
        <w:spacing w:line="276" w:lineRule="auto"/>
        <w:jc w:val="center"/>
        <w:rPr>
          <w:rFonts w:ascii="Arial" w:eastAsia="Times New Roman" w:hAnsi="Arial" w:cs="Arial"/>
          <w:color w:val="000000"/>
          <w:kern w:val="0"/>
          <w:sz w:val="24"/>
          <w:szCs w:val="24"/>
          <w:lang w:eastAsia="en-GB"/>
          <w14:ligatures w14:val="none"/>
        </w:rPr>
      </w:pPr>
      <w:r w:rsidRPr="004D4F2F">
        <w:rPr>
          <w:rFonts w:ascii="Arial" w:hAnsi="Arial" w:cs="Arial"/>
          <w:sz w:val="24"/>
          <w:szCs w:val="24"/>
        </w:rPr>
        <w:t xml:space="preserve"> More dense foliage and branching is also visible in the section of older growth. Purple line indicates internode location from which extension would be measured to the tip of the stem. </w:t>
      </w:r>
    </w:p>
    <w:p w14:paraId="09AF2C2F" w14:textId="77777777" w:rsidR="00EF5EE1" w:rsidRPr="004D4F2F" w:rsidRDefault="00EF5EE1" w:rsidP="00EF5EE1">
      <w:pPr>
        <w:spacing w:after="0" w:line="276" w:lineRule="auto"/>
        <w:ind w:firstLine="720"/>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Needle morphology</w:t>
      </w:r>
      <w:r w:rsidRPr="004D4F2F">
        <w:rPr>
          <w:rFonts w:ascii="Arial" w:eastAsia="Times New Roman" w:hAnsi="Arial" w:cs="Arial"/>
          <w:color w:val="000000"/>
          <w:kern w:val="0"/>
          <w:sz w:val="24"/>
          <w:szCs w:val="24"/>
          <w:lang w:eastAsia="en-GB"/>
          <w14:ligatures w14:val="none"/>
        </w:rPr>
        <w:t xml:space="preserve">: Needle length (Nd_len) and width (Nd_wid) for three randomly selected mature needles per plant were recorded in millimetres using Manutan 0-150 mm electronic callipers to the nearest hundredth decimal. Needle length was measured from the tip of the needle to the node, and needle width was measured across the widest part of the needle. The values used in subsequent data are the averages of these three measurements for each plant for both length and width. </w:t>
      </w:r>
    </w:p>
    <w:p w14:paraId="203EB049"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r>
      <w:r w:rsidRPr="004D4F2F">
        <w:rPr>
          <w:rFonts w:ascii="Arial" w:eastAsia="Times New Roman" w:hAnsi="Arial" w:cs="Arial"/>
          <w:i/>
          <w:iCs/>
          <w:color w:val="000000"/>
          <w:kern w:val="0"/>
          <w:sz w:val="24"/>
          <w:szCs w:val="24"/>
          <w:lang w:eastAsia="en-GB"/>
          <w14:ligatures w14:val="none"/>
        </w:rPr>
        <w:t>Growth habit:</w:t>
      </w:r>
      <w:r w:rsidRPr="004D4F2F">
        <w:rPr>
          <w:rFonts w:ascii="Arial" w:eastAsia="Times New Roman" w:hAnsi="Arial" w:cs="Arial"/>
          <w:color w:val="000000"/>
          <w:kern w:val="0"/>
          <w:sz w:val="24"/>
          <w:szCs w:val="24"/>
          <w:lang w:eastAsia="en-GB"/>
          <w14:ligatures w14:val="none"/>
        </w:rPr>
        <w:t xml:space="preserve"> Plants were categorically assigned to one of three growth habits: upright, intermediate or prostrate (Figure 4). These assignments were made based on the overall shape and direction of growth of the plant: whether it had one or two main stems growing straight and upright, many stems growing in a low shrub shape, or one to three ground-hugging stems. </w:t>
      </w:r>
    </w:p>
    <w:p w14:paraId="1FFDB69D"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noProof/>
          <w:color w:val="000000"/>
          <w:kern w:val="0"/>
          <w:sz w:val="24"/>
          <w:szCs w:val="24"/>
          <w:lang w:eastAsia="en-GB"/>
          <w14:ligatures w14:val="none"/>
        </w:rPr>
        <w:lastRenderedPageBreak/>
        <w:drawing>
          <wp:inline distT="0" distB="0" distL="0" distR="0" wp14:anchorId="1B96C89D" wp14:editId="029AF373">
            <wp:extent cx="5548033" cy="2467093"/>
            <wp:effectExtent l="0" t="0" r="0" b="9525"/>
            <wp:docPr id="3354015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72139" cy="2477813"/>
                    </a:xfrm>
                    <a:prstGeom prst="rect">
                      <a:avLst/>
                    </a:prstGeom>
                    <a:noFill/>
                  </pic:spPr>
                </pic:pic>
              </a:graphicData>
            </a:graphic>
          </wp:inline>
        </w:drawing>
      </w:r>
    </w:p>
    <w:p w14:paraId="6353738F" w14:textId="77777777" w:rsidR="00EF5EE1" w:rsidRPr="004D4F2F" w:rsidRDefault="00EF5EE1" w:rsidP="00EF5EE1">
      <w:pPr>
        <w:pStyle w:val="Caption"/>
        <w:spacing w:line="276" w:lineRule="auto"/>
        <w:jc w:val="center"/>
        <w:rPr>
          <w:rFonts w:ascii="Arial" w:eastAsia="Times New Roman" w:hAnsi="Arial" w:cs="Arial"/>
          <w:color w:val="000000"/>
          <w:kern w:val="0"/>
          <w:sz w:val="24"/>
          <w:szCs w:val="24"/>
          <w:lang w:eastAsia="en-GB"/>
          <w14:ligatures w14:val="none"/>
        </w:rPr>
      </w:pPr>
      <w:bookmarkStart w:id="14" w:name="_Toc211594130"/>
      <w:bookmarkStart w:id="15" w:name="_Toc212797468"/>
      <w:r w:rsidRPr="004D4F2F">
        <w:rPr>
          <w:rFonts w:ascii="Arial" w:hAnsi="Arial" w:cs="Arial"/>
          <w:sz w:val="24"/>
          <w:szCs w:val="24"/>
        </w:rPr>
        <w:t xml:space="preserve">Figure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3</w:t>
      </w:r>
      <w:r w:rsidRPr="004D4F2F">
        <w:rPr>
          <w:rFonts w:ascii="Arial" w:hAnsi="Arial" w:cs="Arial"/>
          <w:sz w:val="24"/>
          <w:szCs w:val="24"/>
        </w:rPr>
        <w:fldChar w:fldCharType="end"/>
      </w:r>
      <w:r w:rsidRPr="004D4F2F">
        <w:rPr>
          <w:rFonts w:ascii="Arial" w:hAnsi="Arial" w:cs="Arial"/>
          <w:sz w:val="24"/>
          <w:szCs w:val="24"/>
        </w:rPr>
        <w:t>: examples of each of the three growth habit categories. A prostrate tree is displayed in the leftmost image, growing primarily at ground level and under other vegetation. The middle image displays an intermediate form, with many stems growing outwards. The rightmost image displays an upright form, with one dominant leader growing vertically.</w:t>
      </w:r>
      <w:bookmarkEnd w:id="14"/>
      <w:bookmarkEnd w:id="15"/>
      <w:r w:rsidRPr="004D4F2F">
        <w:rPr>
          <w:rFonts w:ascii="Arial" w:hAnsi="Arial" w:cs="Arial"/>
          <w:sz w:val="24"/>
          <w:szCs w:val="24"/>
        </w:rPr>
        <w:t xml:space="preserve">  </w:t>
      </w:r>
    </w:p>
    <w:p w14:paraId="13851C94" w14:textId="77777777" w:rsidR="00EF5EE1" w:rsidRPr="004D4F2F" w:rsidRDefault="00EF5EE1" w:rsidP="00EF5EE1">
      <w:pPr>
        <w:spacing w:line="276" w:lineRule="auto"/>
        <w:rPr>
          <w:rFonts w:ascii="Arial" w:hAnsi="Arial" w:cs="Arial"/>
          <w:sz w:val="24"/>
          <w:szCs w:val="24"/>
        </w:rPr>
      </w:pPr>
      <w:r w:rsidRPr="004D4F2F">
        <w:rPr>
          <w:rFonts w:ascii="Arial" w:hAnsi="Arial" w:cs="Arial"/>
          <w:i/>
          <w:iCs/>
          <w:sz w:val="24"/>
          <w:szCs w:val="24"/>
        </w:rPr>
        <w:t xml:space="preserve">Phenological measurements: </w:t>
      </w:r>
      <w:r w:rsidRPr="004D4F2F">
        <w:rPr>
          <w:rFonts w:ascii="Arial" w:hAnsi="Arial" w:cs="Arial"/>
          <w:sz w:val="24"/>
          <w:szCs w:val="24"/>
        </w:rPr>
        <w:t xml:space="preserve"> </w:t>
      </w:r>
    </w:p>
    <w:p w14:paraId="74A61541"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Bud burst (BB) phenology was recorded as ordinal categorical data with values between 0 and 4. The following criteria were used to assign plants to categories: (0) buds undeveloped, no visible swelling; (1) buds swelling; (2) bud burst initiation, buds have visible tips and distinct needles emerging; (3) full bud flush, shallow, concave sides of needle bunches; and (4) stem elongation (Figure 5). In cases where different parts of the plant showed different rates of bud burst progression, the category was assigned based on which stage a majority of the buds were in. </w:t>
      </w:r>
    </w:p>
    <w:p w14:paraId="228A675C"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There were two notable differences among assessment years. Firstly, the number of dates on which BB assessments were conducted varied, with two assessment dates in 2022 (by a different researcher), one in 2023 and five in both 2024 and 2025. Bud burst was only assessed once in 2023 as a preliminary investigation and because of time constraints imposed by other field work that year. Consequently, the number of ordinal categories differed across years; in 2022 and 2023 only values between 0-3 and 1-3 were recorded, respectively, whereas in both 2024 and 2025 values between 0-4 were recorded. The ordinal categories had consistent definitions between years (Figure 5), but the assessment dates spanned a longer time period in the two later years, allowing for all 5 categories to be recorded, from completely dormant buds (0 category) to fully flushed buds (4 category). </w:t>
      </w:r>
    </w:p>
    <w:p w14:paraId="32ABFAEE"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sz w:val="24"/>
          <w:szCs w:val="24"/>
        </w:rPr>
        <w:t xml:space="preserve">For these two reasons, 2024 and 2025 represent the “core” phenological data because they include repeated measures, better temporal coverage, and the full bud burst progression from complete dormancy (0) to stem elongation (4). </w:t>
      </w:r>
      <w:bookmarkStart w:id="16" w:name="_Hlk209006069"/>
      <w:r w:rsidRPr="004D4F2F">
        <w:rPr>
          <w:rFonts w:ascii="Arial" w:hAnsi="Arial" w:cs="Arial"/>
          <w:sz w:val="24"/>
          <w:szCs w:val="24"/>
        </w:rPr>
        <w:t>Our analyses focus primarily on these years.</w:t>
      </w:r>
      <w:bookmarkEnd w:id="16"/>
    </w:p>
    <w:p w14:paraId="0AC65362" w14:textId="77777777" w:rsidR="00EF5EE1" w:rsidRPr="004D4F2F" w:rsidRDefault="00EF5EE1" w:rsidP="00EF5EE1">
      <w:pPr>
        <w:spacing w:line="276" w:lineRule="auto"/>
        <w:ind w:firstLine="720"/>
        <w:jc w:val="center"/>
        <w:rPr>
          <w:rFonts w:ascii="Arial" w:hAnsi="Arial" w:cs="Arial"/>
          <w:sz w:val="24"/>
          <w:szCs w:val="24"/>
        </w:rPr>
      </w:pPr>
      <w:r w:rsidRPr="004D4F2F">
        <w:rPr>
          <w:rFonts w:ascii="Arial" w:hAnsi="Arial" w:cs="Arial"/>
          <w:noProof/>
          <w:sz w:val="24"/>
          <w:szCs w:val="24"/>
        </w:rPr>
        <w:lastRenderedPageBreak/>
        <w:drawing>
          <wp:inline distT="0" distB="0" distL="0" distR="0" wp14:anchorId="0D7A300A" wp14:editId="23919806">
            <wp:extent cx="4982210" cy="3748525"/>
            <wp:effectExtent l="0" t="0" r="8890" b="4445"/>
            <wp:docPr id="1326149163" name="Picture 1" descr="A close up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149163" name="Picture 1" descr="A close up of a plant&#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00889" cy="3762578"/>
                    </a:xfrm>
                    <a:prstGeom prst="rect">
                      <a:avLst/>
                    </a:prstGeom>
                    <a:noFill/>
                  </pic:spPr>
                </pic:pic>
              </a:graphicData>
            </a:graphic>
          </wp:inline>
        </w:drawing>
      </w:r>
    </w:p>
    <w:p w14:paraId="75797EAF" w14:textId="77777777" w:rsidR="00EF5EE1" w:rsidRPr="004D4F2F" w:rsidRDefault="00EF5EE1" w:rsidP="00EF5EE1">
      <w:pPr>
        <w:pStyle w:val="Caption"/>
        <w:spacing w:line="276" w:lineRule="auto"/>
        <w:jc w:val="center"/>
        <w:rPr>
          <w:rFonts w:ascii="Arial" w:hAnsi="Arial" w:cs="Arial"/>
          <w:vanish/>
          <w:sz w:val="24"/>
          <w:szCs w:val="24"/>
          <w:specVanish/>
        </w:rPr>
      </w:pPr>
      <w:bookmarkStart w:id="17" w:name="_Toc211594131"/>
      <w:bookmarkStart w:id="18" w:name="_Toc212797469"/>
      <w:r w:rsidRPr="004D4F2F">
        <w:rPr>
          <w:rFonts w:ascii="Arial" w:hAnsi="Arial" w:cs="Arial"/>
          <w:sz w:val="24"/>
          <w:szCs w:val="24"/>
        </w:rPr>
        <w:t xml:space="preserve">Figure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t>: Example images of each category of bud burst phenology from 1-4</w:t>
      </w:r>
      <w:bookmarkEnd w:id="17"/>
      <w:bookmarkEnd w:id="18"/>
      <w:r w:rsidRPr="004D4F2F">
        <w:rPr>
          <w:rFonts w:ascii="Arial" w:hAnsi="Arial" w:cs="Arial"/>
          <w:sz w:val="24"/>
          <w:szCs w:val="24"/>
        </w:rPr>
        <w:t xml:space="preserve"> </w:t>
      </w:r>
    </w:p>
    <w:p w14:paraId="50FE0698" w14:textId="0685EC92" w:rsidR="00EF5EE1" w:rsidRPr="004D4F2F" w:rsidRDefault="00EF5EE1" w:rsidP="00EF5EE1">
      <w:pPr>
        <w:pStyle w:val="Caption"/>
        <w:spacing w:line="276" w:lineRule="auto"/>
        <w:jc w:val="center"/>
        <w:rPr>
          <w:rFonts w:ascii="Arial" w:hAnsi="Arial" w:cs="Arial"/>
          <w:sz w:val="24"/>
          <w:szCs w:val="24"/>
        </w:rPr>
      </w:pPr>
      <w:r w:rsidRPr="004D4F2F">
        <w:rPr>
          <w:rFonts w:ascii="Arial" w:hAnsi="Arial" w:cs="Arial"/>
          <w:sz w:val="24"/>
          <w:szCs w:val="24"/>
        </w:rPr>
        <w:t xml:space="preserve"> (excluding 0, where no buds are present): </w:t>
      </w:r>
      <w:r w:rsidR="00544DAE">
        <w:rPr>
          <w:rFonts w:ascii="Arial" w:hAnsi="Arial" w:cs="Arial"/>
          <w:sz w:val="24"/>
          <w:szCs w:val="24"/>
        </w:rPr>
        <w:t>F</w:t>
      </w:r>
      <w:r w:rsidRPr="004D4F2F">
        <w:rPr>
          <w:rFonts w:ascii="Arial" w:hAnsi="Arial" w:cs="Arial"/>
          <w:sz w:val="24"/>
          <w:szCs w:val="24"/>
        </w:rPr>
        <w:t xml:space="preserve">rom top left, the bud burst phenology categories are 1: visible buds forming, 2: buds starting to open and distinct needles becoming evident, 3: needles flushed, with the edges of needle bundles forming a shallow, concave arc away from the stem axis, and 4: full bud burst and stem elongation. </w:t>
      </w:r>
    </w:p>
    <w:p w14:paraId="3C4FDB59" w14:textId="77777777" w:rsidR="00EF5EE1" w:rsidRPr="004D4F2F" w:rsidRDefault="00EF5EE1" w:rsidP="00EF5EE1">
      <w:pPr>
        <w:spacing w:line="276" w:lineRule="auto"/>
        <w:rPr>
          <w:rFonts w:ascii="Arial" w:hAnsi="Arial" w:cs="Arial"/>
          <w:sz w:val="24"/>
          <w:szCs w:val="24"/>
        </w:rPr>
      </w:pPr>
      <w:r w:rsidRPr="004D4F2F">
        <w:rPr>
          <w:rFonts w:ascii="Arial" w:hAnsi="Arial" w:cs="Arial"/>
          <w:sz w:val="24"/>
          <w:szCs w:val="24"/>
        </w:rPr>
        <w:tab/>
        <w:t xml:space="preserve">Both male and female strobilus phenology were also recorded in 2025. Strobilus phenology was scored between 0-3, using the following criteria: (0) strobili undeveloped or not visible; (1) strobili developing but not mature; (2) strobili receptive or releasing pollen; (3) pollen strobili empty, female strobili no longer receptive (Figure 6). </w:t>
      </w:r>
    </w:p>
    <w:p w14:paraId="5E9EAEE9" w14:textId="77777777" w:rsidR="00EF5EE1" w:rsidRPr="004D4F2F" w:rsidRDefault="00EF5EE1" w:rsidP="00EF5EE1">
      <w:pPr>
        <w:spacing w:line="276" w:lineRule="auto"/>
        <w:jc w:val="center"/>
        <w:rPr>
          <w:rFonts w:ascii="Arial" w:hAnsi="Arial" w:cs="Arial"/>
          <w:sz w:val="24"/>
          <w:szCs w:val="24"/>
        </w:rPr>
      </w:pPr>
      <w:r w:rsidRPr="004D4F2F">
        <w:rPr>
          <w:rFonts w:ascii="Arial" w:hAnsi="Arial" w:cs="Arial"/>
          <w:noProof/>
          <w:sz w:val="24"/>
          <w:szCs w:val="24"/>
        </w:rPr>
        <w:lastRenderedPageBreak/>
        <w:drawing>
          <wp:inline distT="0" distB="0" distL="0" distR="0" wp14:anchorId="2381E4FD" wp14:editId="32B4904E">
            <wp:extent cx="5543694" cy="4855611"/>
            <wp:effectExtent l="0" t="0" r="0" b="2540"/>
            <wp:docPr id="805161888" name="Picture 2" descr="A close up of a pla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161888" name="Picture 2" descr="A close up of a plant&#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53507" cy="4864206"/>
                    </a:xfrm>
                    <a:prstGeom prst="rect">
                      <a:avLst/>
                    </a:prstGeom>
                    <a:noFill/>
                  </pic:spPr>
                </pic:pic>
              </a:graphicData>
            </a:graphic>
          </wp:inline>
        </w:drawing>
      </w:r>
    </w:p>
    <w:p w14:paraId="08A908B9" w14:textId="77777777" w:rsidR="00EF5EE1" w:rsidRPr="004D4F2F" w:rsidRDefault="00EF5EE1" w:rsidP="00EF5EE1">
      <w:pPr>
        <w:pStyle w:val="Caption"/>
        <w:spacing w:line="276" w:lineRule="auto"/>
        <w:jc w:val="center"/>
        <w:rPr>
          <w:rFonts w:ascii="Arial" w:hAnsi="Arial" w:cs="Arial"/>
          <w:sz w:val="24"/>
          <w:szCs w:val="24"/>
        </w:rPr>
      </w:pPr>
      <w:bookmarkStart w:id="19" w:name="_Toc211594132"/>
      <w:bookmarkStart w:id="20" w:name="_Toc212797470"/>
      <w:r w:rsidRPr="004D4F2F">
        <w:rPr>
          <w:rFonts w:ascii="Arial" w:hAnsi="Arial" w:cs="Arial"/>
          <w:sz w:val="24"/>
          <w:szCs w:val="24"/>
        </w:rPr>
        <w:t xml:space="preserve">Figure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5</w:t>
      </w:r>
      <w:r w:rsidRPr="004D4F2F">
        <w:rPr>
          <w:rFonts w:ascii="Arial" w:hAnsi="Arial" w:cs="Arial"/>
          <w:sz w:val="24"/>
          <w:szCs w:val="24"/>
        </w:rPr>
        <w:fldChar w:fldCharType="end"/>
      </w:r>
      <w:r w:rsidRPr="004D4F2F">
        <w:rPr>
          <w:rFonts w:ascii="Arial" w:hAnsi="Arial" w:cs="Arial"/>
          <w:sz w:val="24"/>
          <w:szCs w:val="24"/>
        </w:rPr>
        <w:t>: Examples of each strobilus phenology stage between 1-3 (each column) for both male (M; top row)) and female (F; bottom row) individuals. Strobilus stages were 1: strobili visibly developing but not mature; 2: strobili either releasing pollen (M) or receptive to pollen with dew drop (F); 3: strobili either empty of pollen/ not releasing (M) or no longer receptive and continuing development (F).</w:t>
      </w:r>
      <w:bookmarkEnd w:id="19"/>
      <w:bookmarkEnd w:id="20"/>
      <w:r w:rsidRPr="004D4F2F">
        <w:rPr>
          <w:rFonts w:ascii="Arial" w:hAnsi="Arial" w:cs="Arial"/>
          <w:sz w:val="24"/>
          <w:szCs w:val="24"/>
        </w:rPr>
        <w:t xml:space="preserve"> </w:t>
      </w:r>
    </w:p>
    <w:p w14:paraId="57C06025" w14:textId="77777777" w:rsidR="00EF5EE1" w:rsidRPr="004D4F2F" w:rsidRDefault="00EF5EE1" w:rsidP="00EF5EE1">
      <w:pPr>
        <w:spacing w:after="0" w:line="276" w:lineRule="auto"/>
        <w:rPr>
          <w:rFonts w:ascii="Arial" w:eastAsia="Times New Roman" w:hAnsi="Arial" w:cs="Arial"/>
          <w:i/>
          <w:iCs/>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 xml:space="preserve">Plant health measurements: </w:t>
      </w:r>
    </w:p>
    <w:p w14:paraId="0A355B76"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ab/>
      </w:r>
      <w:r w:rsidRPr="004D4F2F">
        <w:rPr>
          <w:rFonts w:ascii="Arial" w:eastAsia="Times New Roman" w:hAnsi="Arial" w:cs="Arial"/>
          <w:color w:val="000000"/>
          <w:kern w:val="0"/>
          <w:sz w:val="24"/>
          <w:szCs w:val="24"/>
          <w:lang w:eastAsia="en-GB"/>
          <w14:ligatures w14:val="none"/>
        </w:rPr>
        <w:t>Plant health was assessed on the basis of the percentage of each plant that was visibly dead (September 2024), the occurrences of deaths in the field (March 23- March 24) and chlorophyll fluorescence (CF) (February -March 2024). We visually estimated</w:t>
      </w:r>
      <w:r>
        <w:rPr>
          <w:rFonts w:ascii="Arial" w:eastAsia="Times New Roman" w:hAnsi="Arial" w:cs="Arial"/>
          <w:color w:val="000000"/>
          <w:kern w:val="0"/>
          <w:sz w:val="24"/>
          <w:szCs w:val="24"/>
          <w:lang w:eastAsia="en-GB"/>
          <w14:ligatures w14:val="none"/>
        </w:rPr>
        <w:t xml:space="preserve"> the</w:t>
      </w:r>
      <w:r w:rsidRPr="004D4F2F">
        <w:rPr>
          <w:rFonts w:ascii="Arial" w:eastAsia="Times New Roman" w:hAnsi="Arial" w:cs="Arial"/>
          <w:color w:val="000000"/>
          <w:kern w:val="0"/>
          <w:sz w:val="24"/>
          <w:szCs w:val="24"/>
          <w:lang w:eastAsia="en-GB"/>
          <w14:ligatures w14:val="none"/>
        </w:rPr>
        <w:t xml:space="preserve"> percent </w:t>
      </w:r>
      <w:r>
        <w:rPr>
          <w:rFonts w:ascii="Arial" w:eastAsia="Times New Roman" w:hAnsi="Arial" w:cs="Arial"/>
          <w:color w:val="000000"/>
          <w:kern w:val="0"/>
          <w:sz w:val="24"/>
          <w:szCs w:val="24"/>
          <w:lang w:eastAsia="en-GB"/>
          <w14:ligatures w14:val="none"/>
        </w:rPr>
        <w:t xml:space="preserve">of </w:t>
      </w:r>
      <w:r w:rsidRPr="004D4F2F">
        <w:rPr>
          <w:rFonts w:ascii="Arial" w:eastAsia="Times New Roman" w:hAnsi="Arial" w:cs="Arial"/>
          <w:color w:val="000000"/>
          <w:kern w:val="0"/>
          <w:sz w:val="24"/>
          <w:szCs w:val="24"/>
          <w:lang w:eastAsia="en-GB"/>
          <w14:ligatures w14:val="none"/>
        </w:rPr>
        <w:t xml:space="preserve">dead tissue for each plant in 5% intervals. Any dead plants were recorded at each visit, and these data were used to assess death rates in field conditions. </w:t>
      </w:r>
    </w:p>
    <w:p w14:paraId="3C02868C" w14:textId="77777777" w:rsidR="00EF5EE1" w:rsidRPr="004D4F2F" w:rsidRDefault="00EF5EE1" w:rsidP="00EF5EE1">
      <w:pPr>
        <w:spacing w:line="276" w:lineRule="auto"/>
        <w:ind w:firstLine="720"/>
        <w:rPr>
          <w:rFonts w:ascii="Arial" w:hAnsi="Arial" w:cs="Arial"/>
          <w:sz w:val="24"/>
          <w:szCs w:val="24"/>
        </w:rPr>
      </w:pPr>
      <w:r w:rsidRPr="004D4F2F">
        <w:rPr>
          <w:rFonts w:ascii="Arial" w:hAnsi="Arial" w:cs="Arial"/>
          <w:i/>
          <w:iCs/>
          <w:sz w:val="24"/>
          <w:szCs w:val="24"/>
        </w:rPr>
        <w:t xml:space="preserve">Chlorophyll Fluorescence: </w:t>
      </w:r>
      <w:r w:rsidRPr="004D4F2F">
        <w:rPr>
          <w:rFonts w:ascii="Arial" w:hAnsi="Arial" w:cs="Arial"/>
          <w:sz w:val="24"/>
          <w:szCs w:val="24"/>
        </w:rPr>
        <w:t>Measuring CF involves dark-adapting foliage using clips with sliding “viewing windows” and then saturating the foliage with light to force the reaction centres of the electron transport chain to close. Before saturation, a “measuring light” is used to record a minimal chlorophyll fluorescence value, termed F</w:t>
      </w:r>
      <w:r w:rsidRPr="004D4F2F">
        <w:rPr>
          <w:rFonts w:ascii="Arial" w:hAnsi="Arial" w:cs="Arial"/>
          <w:sz w:val="24"/>
          <w:szCs w:val="24"/>
          <w:vertAlign w:val="subscript"/>
        </w:rPr>
        <w:t>o</w:t>
      </w:r>
      <w:r w:rsidRPr="004D4F2F">
        <w:rPr>
          <w:rFonts w:ascii="Arial" w:hAnsi="Arial" w:cs="Arial"/>
          <w:sz w:val="24"/>
          <w:szCs w:val="24"/>
        </w:rPr>
        <w:t>. Once the saturation light is turned on, a second measurement is taken of the maximum fluorescence, F</w:t>
      </w:r>
      <w:r w:rsidRPr="004D4F2F">
        <w:rPr>
          <w:rFonts w:ascii="Arial" w:hAnsi="Arial" w:cs="Arial"/>
          <w:sz w:val="24"/>
          <w:szCs w:val="24"/>
          <w:vertAlign w:val="subscript"/>
        </w:rPr>
        <w:t>m</w:t>
      </w:r>
      <w:r w:rsidRPr="004D4F2F">
        <w:rPr>
          <w:rFonts w:ascii="Arial" w:hAnsi="Arial" w:cs="Arial"/>
          <w:sz w:val="24"/>
          <w:szCs w:val="24"/>
        </w:rPr>
        <w:t>. Variable fluorescence, or F</w:t>
      </w:r>
      <w:r w:rsidRPr="004D4F2F">
        <w:rPr>
          <w:rFonts w:ascii="Arial" w:hAnsi="Arial" w:cs="Arial"/>
          <w:sz w:val="24"/>
          <w:szCs w:val="24"/>
          <w:vertAlign w:val="subscript"/>
        </w:rPr>
        <w:t>v</w:t>
      </w:r>
      <w:r w:rsidRPr="004D4F2F">
        <w:rPr>
          <w:rFonts w:ascii="Arial" w:hAnsi="Arial" w:cs="Arial"/>
          <w:sz w:val="24"/>
          <w:szCs w:val="24"/>
        </w:rPr>
        <w:t xml:space="preserve">, is then calculated as the </w:t>
      </w:r>
      <w:r w:rsidRPr="004D4F2F">
        <w:rPr>
          <w:rFonts w:ascii="Arial" w:hAnsi="Arial" w:cs="Arial"/>
          <w:sz w:val="24"/>
          <w:szCs w:val="24"/>
        </w:rPr>
        <w:lastRenderedPageBreak/>
        <w:t>difference between F</w:t>
      </w:r>
      <w:r w:rsidRPr="004D4F2F">
        <w:rPr>
          <w:rFonts w:ascii="Arial" w:hAnsi="Arial" w:cs="Arial"/>
          <w:sz w:val="24"/>
          <w:szCs w:val="24"/>
          <w:vertAlign w:val="subscript"/>
        </w:rPr>
        <w:t xml:space="preserve">o </w:t>
      </w:r>
      <w:r w:rsidRPr="004D4F2F">
        <w:rPr>
          <w:rFonts w:ascii="Arial" w:hAnsi="Arial" w:cs="Arial"/>
          <w:sz w:val="24"/>
          <w:szCs w:val="24"/>
        </w:rPr>
        <w:t>and F</w:t>
      </w:r>
      <w:r w:rsidRPr="004D4F2F">
        <w:rPr>
          <w:rFonts w:ascii="Arial" w:hAnsi="Arial" w:cs="Arial"/>
          <w:sz w:val="24"/>
          <w:szCs w:val="24"/>
          <w:vertAlign w:val="subscript"/>
        </w:rPr>
        <w:t xml:space="preserve">m. </w:t>
      </w:r>
      <w:r w:rsidRPr="004D4F2F">
        <w:rPr>
          <w:rFonts w:ascii="Arial" w:hAnsi="Arial" w:cs="Arial"/>
          <w:sz w:val="24"/>
          <w:szCs w:val="24"/>
        </w:rPr>
        <w:t>The percent of the maximum fluorescence value that the foliage achieved in light-saturated conditions is in turn calculated as F</w:t>
      </w:r>
      <w:r w:rsidRPr="004D4F2F">
        <w:rPr>
          <w:rFonts w:ascii="Arial" w:hAnsi="Arial" w:cs="Arial"/>
          <w:sz w:val="24"/>
          <w:szCs w:val="24"/>
          <w:vertAlign w:val="subscript"/>
        </w:rPr>
        <w:t>v</w:t>
      </w:r>
      <w:r w:rsidRPr="004D4F2F">
        <w:rPr>
          <w:rFonts w:ascii="Arial" w:hAnsi="Arial" w:cs="Arial"/>
          <w:sz w:val="24"/>
          <w:szCs w:val="24"/>
        </w:rPr>
        <w:t>/F</w:t>
      </w:r>
      <w:r w:rsidRPr="004D4F2F">
        <w:rPr>
          <w:rFonts w:ascii="Arial" w:hAnsi="Arial" w:cs="Arial"/>
          <w:sz w:val="24"/>
          <w:szCs w:val="24"/>
          <w:vertAlign w:val="subscript"/>
        </w:rPr>
        <w:t>m</w:t>
      </w:r>
      <w:r w:rsidRPr="004D4F2F">
        <w:rPr>
          <w:rFonts w:ascii="Arial" w:hAnsi="Arial" w:cs="Arial"/>
          <w:sz w:val="24"/>
          <w:szCs w:val="24"/>
        </w:rPr>
        <w:t xml:space="preserve">, and this value has been found to be a strong indicator of the maximum quantum yield of PSII chemistry </w:t>
      </w:r>
      <w:r w:rsidRPr="004D4F2F">
        <w:rPr>
          <w:rFonts w:ascii="Arial" w:hAnsi="Arial" w:cs="Arial"/>
          <w:sz w:val="24"/>
          <w:szCs w:val="24"/>
        </w:rPr>
        <w:fldChar w:fldCharType="begin"/>
      </w:r>
      <w:r w:rsidRPr="004D4F2F">
        <w:rPr>
          <w:rFonts w:ascii="Arial" w:hAnsi="Arial" w:cs="Arial"/>
          <w:sz w:val="24"/>
          <w:szCs w:val="24"/>
        </w:rPr>
        <w:instrText xml:space="preserve"> ADDIN EN.CITE &lt;EndNote&gt;&lt;Cite&gt;&lt;Author&gt;Murchie&lt;/Author&gt;&lt;Year&gt;2013&lt;/Year&gt;&lt;RecNum&gt;320&lt;/RecNum&gt;&lt;DisplayText&gt;(Murchie &amp;amp; Lawson, 2013)&lt;/DisplayText&gt;&lt;record&gt;&lt;rec-number&gt;320&lt;/rec-number&gt;&lt;foreign-keys&gt;&lt;key app="EN" db-id="pfzs2ar9rdw9daedvs5pzfpc5tttrr9d0rps" timestamp="1754908382"&gt;320&lt;/key&gt;&lt;/foreign-keys&gt;&lt;ref-type name="Journal Article"&gt;17&lt;/ref-type&gt;&lt;contributors&gt;&lt;authors&gt;&lt;author&gt;Murchie, E. H.&lt;/author&gt;&lt;author&gt;Lawson, T.&lt;/author&gt;&lt;/authors&gt;&lt;/contributors&gt;&lt;titles&gt;&lt;title&gt;Chlorophyll fluorescence analysis: a guide to good practice and understanding some new applications&lt;/title&gt;&lt;secondary-title&gt;Journal of Experimental Botany&lt;/secondary-title&gt;&lt;/titles&gt;&lt;periodical&gt;&lt;full-title&gt;Journal of Experimental Botany&lt;/full-title&gt;&lt;/periodical&gt;&lt;pages&gt;3983-3998&lt;/pages&gt;&lt;volume&gt;64&lt;/volume&gt;&lt;number&gt;13&lt;/number&gt;&lt;dates&gt;&lt;year&gt;2013&lt;/year&gt;&lt;/dates&gt;&lt;publisher&gt;Oxford University Press (OUP)&lt;/publisher&gt;&lt;isbn&gt;1460-2431&lt;/isbn&gt;&lt;urls&gt;&lt;related-urls&gt;&lt;url&gt;https://dx.doi.org/10.1093/jxb/ert208&lt;/url&gt;&lt;/related-urls&gt;&lt;/urls&gt;&lt;electronic-resource-num&gt;10.1093/jxb/ert208&lt;/electronic-resource-num&gt;&lt;/record&gt;&lt;/Cite&gt;&lt;/EndNote&gt;</w:instrText>
      </w:r>
      <w:r w:rsidRPr="004D4F2F">
        <w:rPr>
          <w:rFonts w:ascii="Arial" w:hAnsi="Arial" w:cs="Arial"/>
          <w:sz w:val="24"/>
          <w:szCs w:val="24"/>
        </w:rPr>
        <w:fldChar w:fldCharType="separate"/>
      </w:r>
      <w:r w:rsidRPr="004D4F2F">
        <w:rPr>
          <w:rFonts w:ascii="Arial" w:hAnsi="Arial" w:cs="Arial"/>
          <w:noProof/>
          <w:sz w:val="24"/>
          <w:szCs w:val="24"/>
        </w:rPr>
        <w:t>(Murchie &amp; Lawson, 2013)</w:t>
      </w:r>
      <w:r w:rsidRPr="004D4F2F">
        <w:rPr>
          <w:rFonts w:ascii="Arial" w:hAnsi="Arial" w:cs="Arial"/>
          <w:sz w:val="24"/>
          <w:szCs w:val="24"/>
        </w:rPr>
        <w:fldChar w:fldCharType="end"/>
      </w:r>
      <w:r w:rsidRPr="004D4F2F">
        <w:rPr>
          <w:rFonts w:ascii="Arial" w:hAnsi="Arial" w:cs="Arial"/>
          <w:sz w:val="24"/>
          <w:szCs w:val="24"/>
        </w:rPr>
        <w:t xml:space="preserve">. </w:t>
      </w:r>
    </w:p>
    <w:p w14:paraId="47F08A0B" w14:textId="77777777" w:rsidR="00EF5EE1" w:rsidRPr="004D4F2F" w:rsidRDefault="00EF5EE1" w:rsidP="00EF5EE1">
      <w:pPr>
        <w:spacing w:line="276" w:lineRule="auto"/>
        <w:rPr>
          <w:rFonts w:ascii="Arial" w:hAnsi="Arial" w:cs="Arial"/>
          <w:sz w:val="24"/>
          <w:szCs w:val="24"/>
        </w:rPr>
      </w:pPr>
      <w:r w:rsidRPr="004D4F2F">
        <w:rPr>
          <w:rFonts w:ascii="Arial" w:hAnsi="Arial" w:cs="Arial"/>
          <w:sz w:val="24"/>
          <w:szCs w:val="24"/>
        </w:rPr>
        <w:tab/>
        <w:t xml:space="preserve">A Hansatech HandyPea Chlorophyll Fluorometer was used to evaluate the photosynthetic activity of Photosystem II (PSII). HandyPea settings were </w:t>
      </w:r>
      <w:r>
        <w:rPr>
          <w:rFonts w:ascii="Arial" w:hAnsi="Arial" w:cs="Arial"/>
          <w:sz w:val="24"/>
          <w:szCs w:val="24"/>
        </w:rPr>
        <w:t>calibrated</w:t>
      </w:r>
      <w:r w:rsidRPr="004D4F2F">
        <w:rPr>
          <w:rFonts w:ascii="Arial" w:hAnsi="Arial" w:cs="Arial"/>
          <w:sz w:val="24"/>
          <w:szCs w:val="24"/>
        </w:rPr>
        <w:t xml:space="preserve"> by using a small sample of juniper taken from a plant growing on the UKCEH Bush Estate, Roslin to determine dark adaptation time and optimal gain and light settings </w:t>
      </w:r>
      <w:r w:rsidRPr="004D4F2F">
        <w:rPr>
          <w:rFonts w:ascii="Arial" w:hAnsi="Arial" w:cs="Arial"/>
          <w:sz w:val="24"/>
          <w:szCs w:val="24"/>
        </w:rPr>
        <w:fldChar w:fldCharType="begin"/>
      </w:r>
      <w:r w:rsidRPr="004D4F2F">
        <w:rPr>
          <w:rFonts w:ascii="Arial" w:hAnsi="Arial" w:cs="Arial"/>
          <w:sz w:val="24"/>
          <w:szCs w:val="24"/>
        </w:rPr>
        <w:instrText xml:space="preserve"> ADDIN EN.CITE &lt;EndNote&gt;&lt;Cite&gt;&lt;Author&gt;Murchie&lt;/Author&gt;&lt;Year&gt;2013&lt;/Year&gt;&lt;RecNum&gt;320&lt;/RecNum&gt;&lt;DisplayText&gt;(Murchie &amp;amp; Lawson, 2013)&lt;/DisplayText&gt;&lt;record&gt;&lt;rec-number&gt;320&lt;/rec-number&gt;&lt;foreign-keys&gt;&lt;key app="EN" db-id="pfzs2ar9rdw9daedvs5pzfpc5tttrr9d0rps" timestamp="1754908382"&gt;320&lt;/key&gt;&lt;/foreign-keys&gt;&lt;ref-type name="Journal Article"&gt;17&lt;/ref-type&gt;&lt;contributors&gt;&lt;authors&gt;&lt;author&gt;Murchie, E. H.&lt;/author&gt;&lt;author&gt;Lawson, T.&lt;/author&gt;&lt;/authors&gt;&lt;/contributors&gt;&lt;titles&gt;&lt;title&gt;Chlorophyll fluorescence analysis: a guide to good practice and understanding some new applications&lt;/title&gt;&lt;secondary-title&gt;Journal of Experimental Botany&lt;/secondary-title&gt;&lt;/titles&gt;&lt;periodical&gt;&lt;full-title&gt;Journal of Experimental Botany&lt;/full-title&gt;&lt;/periodical&gt;&lt;pages&gt;3983-3998&lt;/pages&gt;&lt;volume&gt;64&lt;/volume&gt;&lt;number&gt;13&lt;/number&gt;&lt;dates&gt;&lt;year&gt;2013&lt;/year&gt;&lt;/dates&gt;&lt;publisher&gt;Oxford University Press (OUP)&lt;/publisher&gt;&lt;isbn&gt;1460-2431&lt;/isbn&gt;&lt;urls&gt;&lt;related-urls&gt;&lt;url&gt;https://dx.doi.org/10.1093/jxb/ert208&lt;/url&gt;&lt;/related-urls&gt;&lt;/urls&gt;&lt;electronic-resource-num&gt;10.1093/jxb/ert208&lt;/electronic-resource-num&gt;&lt;/record&gt;&lt;/Cite&gt;&lt;/EndNote&gt;</w:instrText>
      </w:r>
      <w:r w:rsidRPr="004D4F2F">
        <w:rPr>
          <w:rFonts w:ascii="Arial" w:hAnsi="Arial" w:cs="Arial"/>
          <w:sz w:val="24"/>
          <w:szCs w:val="24"/>
        </w:rPr>
        <w:fldChar w:fldCharType="separate"/>
      </w:r>
      <w:r w:rsidRPr="004D4F2F">
        <w:rPr>
          <w:rFonts w:ascii="Arial" w:hAnsi="Arial" w:cs="Arial"/>
          <w:noProof/>
          <w:sz w:val="24"/>
          <w:szCs w:val="24"/>
        </w:rPr>
        <w:t>(Murchie &amp; Lawson, 2013)</w:t>
      </w:r>
      <w:r w:rsidRPr="004D4F2F">
        <w:rPr>
          <w:rFonts w:ascii="Arial" w:hAnsi="Arial" w:cs="Arial"/>
          <w:sz w:val="24"/>
          <w:szCs w:val="24"/>
        </w:rPr>
        <w:fldChar w:fldCharType="end"/>
      </w:r>
      <w:r w:rsidRPr="004D4F2F">
        <w:rPr>
          <w:rFonts w:ascii="Arial" w:hAnsi="Arial" w:cs="Arial"/>
          <w:sz w:val="24"/>
          <w:szCs w:val="24"/>
        </w:rPr>
        <w:t xml:space="preserve">. These settings were: 12 minutes dark adaptation time, 1.1x gain and light intensity of 2500 for 1 second. </w:t>
      </w:r>
    </w:p>
    <w:p w14:paraId="71EC9206" w14:textId="77777777" w:rsidR="00EF5EE1" w:rsidRPr="004D4F2F" w:rsidRDefault="00EF5EE1" w:rsidP="00EF5EE1">
      <w:pPr>
        <w:spacing w:line="276" w:lineRule="auto"/>
        <w:rPr>
          <w:rFonts w:ascii="Arial" w:hAnsi="Arial" w:cs="Arial"/>
          <w:sz w:val="24"/>
          <w:szCs w:val="24"/>
        </w:rPr>
      </w:pPr>
      <w:r w:rsidRPr="004D4F2F">
        <w:rPr>
          <w:rFonts w:ascii="Arial" w:hAnsi="Arial" w:cs="Arial"/>
          <w:sz w:val="24"/>
          <w:szCs w:val="24"/>
        </w:rPr>
        <w:tab/>
        <w:t xml:space="preserve">Since CF measurements are time consuming and highly sensitive to environmental conditions and the time of day, measurements were only taken on plants in the first and sixth blocks, or the first 10 rows of plants. Two measurements were taken per plant on randomly selected, mature needles which had been dark adapted for 12 minutes. </w:t>
      </w:r>
    </w:p>
    <w:p w14:paraId="1BAADBB4"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hAnsi="Arial" w:cs="Arial"/>
          <w:sz w:val="24"/>
          <w:szCs w:val="24"/>
        </w:rPr>
        <w:tab/>
        <w:t xml:space="preserve">We noted and removed erroneous scans, including those where the clip fell off or shifted, during data processing. These data were downloaded and the time-series scan data were visualized using </w:t>
      </w:r>
      <w:r w:rsidRPr="004D4F2F">
        <w:rPr>
          <w:rFonts w:ascii="Arial" w:eastAsia="Times New Roman" w:hAnsi="Arial" w:cs="Arial"/>
          <w:color w:val="000000"/>
          <w:kern w:val="0"/>
          <w:sz w:val="24"/>
          <w:szCs w:val="24"/>
          <w:lang w:eastAsia="en-GB"/>
          <w14:ligatures w14:val="none"/>
        </w:rPr>
        <w:t>PEA Plus software Version 1.13. Additional erroneous scans were identified by visually examining the fluorescence kinetics curves and looking for “flat” curves, or measurements where the transient fluorescence (Ft) values did not appreciably change over the course of the measurement (Final-initial &lt; 200 Ft over 1 second interval).</w:t>
      </w:r>
    </w:p>
    <w:p w14:paraId="04BB550C"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For any plants with two measurements remaining after these filtering steps, the Ft measurements were averaged over every time interval and these averaged values are used to calculate the Fv/Fm values used in subsequent analysis. In instances where one measurement for an individual was removed, the remaining measurement was used</w:t>
      </w:r>
      <w:r>
        <w:rPr>
          <w:rFonts w:ascii="Arial" w:eastAsia="Times New Roman" w:hAnsi="Arial" w:cs="Arial"/>
          <w:color w:val="000000"/>
          <w:kern w:val="0"/>
          <w:sz w:val="24"/>
          <w:szCs w:val="24"/>
          <w:lang w:eastAsia="en-GB"/>
          <w14:ligatures w14:val="none"/>
        </w:rPr>
        <w:t xml:space="preserve"> in analyses</w:t>
      </w:r>
      <w:r w:rsidRPr="004D4F2F">
        <w:rPr>
          <w:rFonts w:ascii="Arial" w:eastAsia="Times New Roman" w:hAnsi="Arial" w:cs="Arial"/>
          <w:color w:val="000000"/>
          <w:kern w:val="0"/>
          <w:sz w:val="24"/>
          <w:szCs w:val="24"/>
          <w:lang w:eastAsia="en-GB"/>
          <w14:ligatures w14:val="none"/>
        </w:rPr>
        <w:t xml:space="preserve">.  </w:t>
      </w:r>
    </w:p>
    <w:p w14:paraId="21BA59DE" w14:textId="77777777" w:rsidR="00EF5EE1" w:rsidRPr="004D4F2F" w:rsidRDefault="00EF5EE1" w:rsidP="00EF5EE1">
      <w:pPr>
        <w:spacing w:line="276" w:lineRule="auto"/>
        <w:rPr>
          <w:rFonts w:ascii="Arial" w:hAnsi="Arial" w:cs="Arial"/>
          <w:sz w:val="24"/>
          <w:szCs w:val="24"/>
        </w:rPr>
      </w:pPr>
      <w:r w:rsidRPr="004D4F2F">
        <w:rPr>
          <w:rFonts w:ascii="Arial" w:hAnsi="Arial" w:cs="Arial"/>
          <w:i/>
          <w:iCs/>
          <w:sz w:val="24"/>
          <w:szCs w:val="24"/>
        </w:rPr>
        <w:tab/>
        <w:t xml:space="preserve">Munsell colours: </w:t>
      </w:r>
      <w:r w:rsidRPr="004D4F2F">
        <w:rPr>
          <w:rFonts w:ascii="Arial" w:hAnsi="Arial" w:cs="Arial"/>
          <w:sz w:val="24"/>
          <w:szCs w:val="24"/>
        </w:rPr>
        <w:t xml:space="preserve">For each plant, we visually compared the colours of the stomatal band on the top (adaxial), and the colour of the bottom of needles (abaxial) (Figure 2) to the Munsell Field Guide </w:t>
      </w:r>
      <w:r w:rsidRPr="004D4F2F">
        <w:rPr>
          <w:rFonts w:ascii="Arial" w:hAnsi="Arial" w:cs="Arial"/>
          <w:sz w:val="24"/>
          <w:szCs w:val="24"/>
        </w:rPr>
        <w:fldChar w:fldCharType="begin"/>
      </w:r>
      <w:r w:rsidRPr="004D4F2F">
        <w:rPr>
          <w:rFonts w:ascii="Arial" w:hAnsi="Arial" w:cs="Arial"/>
          <w:sz w:val="24"/>
          <w:szCs w:val="24"/>
        </w:rPr>
        <w:instrText xml:space="preserve"> ADDIN EN.CITE &lt;EndNote&gt;&lt;Cite&gt;&lt;Year&gt;2012&lt;/Year&gt;&lt;RecNum&gt;314&lt;/RecNum&gt;&lt;DisplayText&gt;(Cochrane, 2014; &lt;style face="italic"&gt;Munsell Plant Tissue Color Book&lt;/style&gt;, 2012)&lt;/DisplayText&gt;&lt;record&gt;&lt;rec-number&gt;314&lt;/rec-number&gt;&lt;foreign-keys&gt;&lt;key app="EN" db-id="pfzs2ar9rdw9daedvs5pzfpc5tttrr9d0rps" timestamp="1754906712"&gt;314&lt;/key&gt;&lt;/foreign-keys&gt;&lt;ref-type name="Book"&gt;6&lt;/ref-type&gt;&lt;contributors&gt;&lt;/contributors&gt;&lt;titles&gt;&lt;title&gt;Munsell Plant Tissue Color Book&lt;/title&gt;&lt;secondary-title&gt;Munsell Color, Grand Rapids, Michigan&lt;/secondary-title&gt;&lt;/titles&gt;&lt;periodical&gt;&lt;full-title&gt;Munsell Color, Grand Rapids, Michigan&lt;/full-title&gt;&lt;/periodical&gt;&lt;dates&gt;&lt;year&gt;2012&lt;/year&gt;&lt;/dates&gt;&lt;urls&gt;&lt;/urls&gt;&lt;/record&gt;&lt;/Cite&gt;&lt;Cite&gt;&lt;Author&gt;Cochrane&lt;/Author&gt;&lt;Year&gt;2014&lt;/Year&gt;&lt;RecNum&gt;316&lt;/RecNum&gt;&lt;record&gt;&lt;rec-number&gt;316&lt;/rec-number&gt;&lt;foreign-keys&gt;&lt;key app="EN" db-id="pfzs2ar9rdw9daedvs5pzfpc5tttrr9d0rps" timestamp="1754907249"&gt;316&lt;/key&gt;&lt;/foreign-keys&gt;&lt;ref-type name="Journal Article"&gt;17&lt;/ref-type&gt;&lt;contributors&gt;&lt;authors&gt;&lt;author&gt;Cochrane, Sally&lt;/author&gt;&lt;/authors&gt;&lt;/contributors&gt;&lt;titles&gt;&lt;title&gt;The Munsell Color System: A scientific compromise from the world of art&lt;/title&gt;&lt;secondary-title&gt;Studies in History and Philosophy of Science Part A&lt;/secondary-title&gt;&lt;/titles&gt;&lt;periodical&gt;&lt;full-title&gt;Studies in History and Philosophy of Science Part A&lt;/full-title&gt;&lt;/periodical&gt;&lt;pages&gt;26-41&lt;/pages&gt;&lt;volume&gt;47&lt;/volume&gt;&lt;keywords&gt;&lt;keyword&gt;Color systems&lt;/keyword&gt;&lt;keyword&gt;Color perception&lt;/keyword&gt;&lt;keyword&gt;Color science&lt;/keyword&gt;&lt;keyword&gt;Albert Henry Munsell&lt;/keyword&gt;&lt;keyword&gt;Munsell Color System&lt;/keyword&gt;&lt;/keywords&gt;&lt;dates&gt;&lt;year&gt;2014&lt;/year&gt;&lt;pub-dates&gt;&lt;date&gt;2014/09/01/&lt;/date&gt;&lt;/pub-dates&gt;&lt;/dates&gt;&lt;isbn&gt;0039-3681&lt;/isbn&gt;&lt;urls&gt;&lt;related-urls&gt;&lt;url&gt;https://www.sciencedirect.com/science/article/pii/S0039368114000235&lt;/url&gt;&lt;/related-urls&gt;&lt;/urls&gt;&lt;electronic-resource-num&gt;https://doi.org/10.1016/j.shpsa.2014.03.004&lt;/electronic-resource-num&gt;&lt;/record&gt;&lt;/Cite&gt;&lt;/EndNote&gt;</w:instrText>
      </w:r>
      <w:r w:rsidRPr="004D4F2F">
        <w:rPr>
          <w:rFonts w:ascii="Arial" w:hAnsi="Arial" w:cs="Arial"/>
          <w:sz w:val="24"/>
          <w:szCs w:val="24"/>
        </w:rPr>
        <w:fldChar w:fldCharType="separate"/>
      </w:r>
      <w:r w:rsidRPr="004D4F2F">
        <w:rPr>
          <w:rFonts w:ascii="Arial" w:hAnsi="Arial" w:cs="Arial"/>
          <w:noProof/>
          <w:sz w:val="24"/>
          <w:szCs w:val="24"/>
        </w:rPr>
        <w:t xml:space="preserve">(Cochrane, 2014; </w:t>
      </w:r>
      <w:r w:rsidRPr="004D4F2F">
        <w:rPr>
          <w:rFonts w:ascii="Arial" w:hAnsi="Arial" w:cs="Arial"/>
          <w:i/>
          <w:noProof/>
          <w:sz w:val="24"/>
          <w:szCs w:val="24"/>
        </w:rPr>
        <w:t>Munsell Plant Tissue Color Book</w:t>
      </w:r>
      <w:r w:rsidRPr="004D4F2F">
        <w:rPr>
          <w:rFonts w:ascii="Arial" w:hAnsi="Arial" w:cs="Arial"/>
          <w:noProof/>
          <w:sz w:val="24"/>
          <w:szCs w:val="24"/>
        </w:rPr>
        <w:t>, 2012)</w:t>
      </w:r>
      <w:r w:rsidRPr="004D4F2F">
        <w:rPr>
          <w:rFonts w:ascii="Arial" w:hAnsi="Arial" w:cs="Arial"/>
          <w:sz w:val="24"/>
          <w:szCs w:val="24"/>
        </w:rPr>
        <w:fldChar w:fldCharType="end"/>
      </w:r>
      <w:r w:rsidRPr="004D4F2F">
        <w:rPr>
          <w:rFonts w:ascii="Arial" w:hAnsi="Arial" w:cs="Arial"/>
          <w:sz w:val="24"/>
          <w:szCs w:val="24"/>
        </w:rPr>
        <w:t>. We recorded the matching colour swatch code for each plant. These measurements were taken</w:t>
      </w:r>
      <w:r>
        <w:rPr>
          <w:rFonts w:ascii="Arial" w:hAnsi="Arial" w:cs="Arial"/>
          <w:sz w:val="24"/>
          <w:szCs w:val="24"/>
        </w:rPr>
        <w:t xml:space="preserve"> in</w:t>
      </w:r>
      <w:r w:rsidRPr="004D4F2F">
        <w:rPr>
          <w:rFonts w:ascii="Arial" w:hAnsi="Arial" w:cs="Arial"/>
          <w:sz w:val="24"/>
          <w:szCs w:val="24"/>
        </w:rPr>
        <w:t xml:space="preserve"> the field under partly cloudy conditions, and we recorded the date of each to control for variation in daylight level. Finally, measurements were taken in order of Plant ID (1–540), allowing us to evaluate whether time of day influenced colour interpretations.</w:t>
      </w:r>
    </w:p>
    <w:p w14:paraId="05166F72" w14:textId="77777777" w:rsidR="00EF5EE1" w:rsidRPr="004D4F2F" w:rsidRDefault="00EF5EE1" w:rsidP="00EF5EE1">
      <w:pPr>
        <w:spacing w:line="276" w:lineRule="auto"/>
        <w:jc w:val="center"/>
        <w:rPr>
          <w:rFonts w:ascii="Arial" w:hAnsi="Arial" w:cs="Arial"/>
          <w:sz w:val="24"/>
          <w:szCs w:val="24"/>
        </w:rPr>
      </w:pPr>
      <w:r w:rsidRPr="004D4F2F">
        <w:rPr>
          <w:rFonts w:ascii="Arial" w:hAnsi="Arial" w:cs="Arial"/>
          <w:noProof/>
          <w:sz w:val="24"/>
          <w:szCs w:val="24"/>
        </w:rPr>
        <w:lastRenderedPageBreak/>
        <w:drawing>
          <wp:inline distT="0" distB="0" distL="0" distR="0" wp14:anchorId="65D9E992" wp14:editId="73E26831">
            <wp:extent cx="3343917" cy="4436198"/>
            <wp:effectExtent l="0" t="0" r="8890" b="2540"/>
            <wp:docPr id="9" name="Picture 8" descr="A close up of a plant&#10;&#10;AI-generated content may be incorrect.">
              <a:extLst xmlns:a="http://schemas.openxmlformats.org/drawingml/2006/main">
                <a:ext uri="{FF2B5EF4-FFF2-40B4-BE49-F238E27FC236}">
                  <a16:creationId xmlns:a16="http://schemas.microsoft.com/office/drawing/2014/main" id="{3BAC3B6D-AE4A-56C8-42A0-175C11E23B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close up of a plant&#10;&#10;AI-generated content may be incorrect.">
                      <a:extLst>
                        <a:ext uri="{FF2B5EF4-FFF2-40B4-BE49-F238E27FC236}">
                          <a16:creationId xmlns:a16="http://schemas.microsoft.com/office/drawing/2014/main" id="{3BAC3B6D-AE4A-56C8-42A0-175C11E23BEF}"/>
                        </a:ext>
                      </a:extLst>
                    </pic:cNvPr>
                    <pic:cNvPicPr>
                      <a:picLocks noChangeAspect="1"/>
                    </pic:cNvPicPr>
                  </pic:nvPicPr>
                  <pic:blipFill>
                    <a:blip r:embed="rId14"/>
                    <a:stretch>
                      <a:fillRect/>
                    </a:stretch>
                  </pic:blipFill>
                  <pic:spPr>
                    <a:xfrm>
                      <a:off x="0" y="0"/>
                      <a:ext cx="3348673" cy="4442507"/>
                    </a:xfrm>
                    <a:prstGeom prst="rect">
                      <a:avLst/>
                    </a:prstGeom>
                  </pic:spPr>
                </pic:pic>
              </a:graphicData>
            </a:graphic>
          </wp:inline>
        </w:drawing>
      </w:r>
    </w:p>
    <w:p w14:paraId="48BE1B11" w14:textId="77777777" w:rsidR="00EF5EE1" w:rsidRPr="004D4F2F" w:rsidRDefault="00EF5EE1" w:rsidP="00EF5EE1">
      <w:pPr>
        <w:pStyle w:val="Caption"/>
        <w:spacing w:line="276" w:lineRule="auto"/>
        <w:jc w:val="center"/>
        <w:rPr>
          <w:rFonts w:ascii="Arial" w:hAnsi="Arial" w:cs="Arial"/>
          <w:vanish/>
          <w:sz w:val="24"/>
          <w:szCs w:val="24"/>
          <w:specVanish/>
        </w:rPr>
      </w:pPr>
      <w:bookmarkStart w:id="21" w:name="_Toc211594133"/>
      <w:bookmarkStart w:id="22" w:name="_Toc212797471"/>
      <w:r w:rsidRPr="004D4F2F">
        <w:rPr>
          <w:rFonts w:ascii="Arial" w:hAnsi="Arial" w:cs="Arial"/>
          <w:sz w:val="24"/>
          <w:szCs w:val="24"/>
        </w:rPr>
        <w:t xml:space="preserve">Figure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Figure \* ARABIC \s 1 </w:instrText>
      </w:r>
      <w:r w:rsidRPr="004D4F2F">
        <w:rPr>
          <w:rFonts w:ascii="Arial" w:hAnsi="Arial" w:cs="Arial"/>
          <w:sz w:val="24"/>
          <w:szCs w:val="24"/>
        </w:rPr>
        <w:fldChar w:fldCharType="separate"/>
      </w:r>
      <w:r>
        <w:rPr>
          <w:rFonts w:ascii="Arial" w:hAnsi="Arial" w:cs="Arial"/>
          <w:noProof/>
          <w:sz w:val="24"/>
          <w:szCs w:val="24"/>
        </w:rPr>
        <w:t>6</w:t>
      </w:r>
      <w:r w:rsidRPr="004D4F2F">
        <w:rPr>
          <w:rFonts w:ascii="Arial" w:hAnsi="Arial" w:cs="Arial"/>
          <w:sz w:val="24"/>
          <w:szCs w:val="24"/>
        </w:rPr>
        <w:fldChar w:fldCharType="end"/>
      </w:r>
      <w:r w:rsidRPr="004D4F2F">
        <w:rPr>
          <w:rFonts w:ascii="Arial" w:hAnsi="Arial" w:cs="Arial"/>
          <w:sz w:val="24"/>
          <w:szCs w:val="24"/>
        </w:rPr>
        <w:t>: Example image of the abaxial and adaxial needle surfaces</w:t>
      </w:r>
      <w:bookmarkEnd w:id="21"/>
      <w:bookmarkEnd w:id="22"/>
    </w:p>
    <w:p w14:paraId="40212CEC" w14:textId="77777777" w:rsidR="00EF5EE1" w:rsidRPr="004D4F2F" w:rsidRDefault="00EF5EE1" w:rsidP="00EF5EE1">
      <w:pPr>
        <w:pStyle w:val="Caption"/>
        <w:spacing w:line="276" w:lineRule="auto"/>
        <w:jc w:val="center"/>
        <w:rPr>
          <w:rFonts w:ascii="Arial" w:hAnsi="Arial" w:cs="Arial"/>
          <w:sz w:val="24"/>
          <w:szCs w:val="24"/>
        </w:rPr>
      </w:pPr>
      <w:r w:rsidRPr="004D4F2F">
        <w:rPr>
          <w:rFonts w:ascii="Arial" w:hAnsi="Arial" w:cs="Arial"/>
          <w:sz w:val="24"/>
          <w:szCs w:val="24"/>
        </w:rPr>
        <w:t>. Square outlines indicate the locations where colours were compared to Munsell Colour “swatches.” Both examples are of the same needle, two photos were edited to align them side by side for comparison. Unedited photos available in Appendix 2.</w:t>
      </w:r>
    </w:p>
    <w:p w14:paraId="53C53A17" w14:textId="77777777" w:rsidR="00EF5EE1" w:rsidRPr="004D4F2F" w:rsidRDefault="00EF5EE1" w:rsidP="00EF5EE1">
      <w:pPr>
        <w:spacing w:after="0" w:line="276" w:lineRule="auto"/>
        <w:rPr>
          <w:rFonts w:ascii="Arial" w:eastAsia="Times New Roman" w:hAnsi="Arial" w:cs="Arial"/>
          <w:i/>
          <w:iCs/>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 xml:space="preserve">Data analysis: </w:t>
      </w:r>
    </w:p>
    <w:p w14:paraId="505274D2" w14:textId="77777777" w:rsidR="00EF5EE1" w:rsidRPr="004D4F2F" w:rsidRDefault="00EF5EE1" w:rsidP="00EF5EE1">
      <w:pPr>
        <w:spacing w:after="0" w:line="276" w:lineRule="auto"/>
        <w:rPr>
          <w:rFonts w:ascii="Arial" w:hAnsi="Arial" w:cs="Arial"/>
          <w:sz w:val="24"/>
          <w:szCs w:val="24"/>
        </w:rPr>
      </w:pPr>
      <w:r w:rsidRPr="004D4F2F">
        <w:rPr>
          <w:rFonts w:ascii="Arial" w:eastAsia="Times New Roman" w:hAnsi="Arial" w:cs="Arial"/>
          <w:i/>
          <w:iCs/>
          <w:color w:val="000000"/>
          <w:kern w:val="0"/>
          <w:sz w:val="24"/>
          <w:szCs w:val="24"/>
          <w:lang w:eastAsia="en-GB"/>
          <w14:ligatures w14:val="none"/>
        </w:rPr>
        <w:tab/>
        <w:t xml:space="preserve">Main approaches: </w:t>
      </w:r>
      <w:r w:rsidRPr="004D4F2F">
        <w:rPr>
          <w:rFonts w:ascii="Arial" w:eastAsia="Times New Roman" w:hAnsi="Arial" w:cs="Arial"/>
          <w:color w:val="000000"/>
          <w:kern w:val="0"/>
          <w:sz w:val="24"/>
          <w:szCs w:val="24"/>
          <w:lang w:eastAsia="en-GB"/>
          <w14:ligatures w14:val="none"/>
        </w:rPr>
        <w:t xml:space="preserve">To address the research questions posed in the introduction, three main types of analyses were conducted. First, a univariate, step-wise modelling approach for each trait was used to partition variance (research question 1) and test for phenotypic differences among populations and regions (research question 2) while controlling for demographic and spatial effects. Secondly, we took an unconstrained multivariate approach to include all traits and evaluate whether ecotypes exist and verified this with PERMANOVA and K-means clustering methods. Finally, to determine whether these ecotypes vary with climatic variables from source populations, an RDA was performed using multivariate trait data as the response and climate variables from sources populations as the predictors (research question 3). All analyses were conducted using R version 4.3.1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&lt;EndNote&gt;&lt;Cite&gt;&lt;Author&gt;R Core Team&lt;/Author&gt;&lt;Year&gt;2021&lt;/Year&gt;&lt;RecNum&gt;9&lt;/RecNum&gt;&lt;DisplayText&gt;(R Core Team, 2021)&lt;/DisplayText&gt;&lt;record&gt;&lt;rec-number&gt;9&lt;/rec-number&gt;&lt;foreign-keys&gt;&lt;key app="EN" db-id="pfzs2ar9rdw9daedvs5pzfpc5tttrr9d0rps" timestamp="1701354438"&gt;9&lt;/key&gt;&lt;/foreign-keys&gt;&lt;ref-type name="Computer Program"&gt;9&lt;/ref-type&gt;&lt;contributors&gt;&lt;authors&gt;&lt;author&gt;R Core Team,&lt;/author&gt;&lt;/authors&gt;&lt;/contributors&gt;&lt;titles&gt;&lt;title&gt;R: A language and environment for statistical computing&lt;/title&gt;&lt;/titles&gt;&lt;edition&gt;4.4.0&lt;/edition&gt;&lt;dates&gt;&lt;year&gt;2021&lt;/year&gt;&lt;/dates&gt;&lt;pub-location&gt;R Foundation for Statistical Computing, Vienna, Austria&lt;/pub-location&gt;&lt;urls&gt;&lt;related-urls&gt;&lt;url&gt;https://www.R-project.org/&lt;/url&gt;&lt;/related-urls&gt;&lt;/urls&gt;&lt;/record&gt;&lt;/Cite&gt;&lt;/EndNote&gt;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(R Core Team, 2021)</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w:t>
      </w:r>
    </w:p>
    <w:p w14:paraId="06588EC9"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r>
      <w:r w:rsidRPr="004D4F2F">
        <w:rPr>
          <w:rFonts w:ascii="Arial" w:eastAsia="Times New Roman" w:hAnsi="Arial" w:cs="Arial"/>
          <w:i/>
          <w:iCs/>
          <w:color w:val="000000"/>
          <w:kern w:val="0"/>
          <w:sz w:val="24"/>
          <w:szCs w:val="24"/>
          <w:lang w:eastAsia="en-GB"/>
          <w14:ligatures w14:val="none"/>
        </w:rPr>
        <w:t xml:space="preserve">Univariate analyses: Model specifications and types: </w:t>
      </w:r>
      <w:r w:rsidRPr="004D4F2F">
        <w:rPr>
          <w:rFonts w:ascii="Arial" w:eastAsia="Times New Roman" w:hAnsi="Arial" w:cs="Arial"/>
          <w:color w:val="000000"/>
          <w:kern w:val="0"/>
          <w:sz w:val="24"/>
          <w:szCs w:val="24"/>
          <w:lang w:eastAsia="en-GB"/>
          <w14:ligatures w14:val="none"/>
        </w:rPr>
        <w:t xml:space="preserve">For each trait, five different model specifications were fitted to the data and compared using BIC scores and Log-likelihood values. First, models were fitted comparing traits to demographic </w:t>
      </w:r>
      <w:r w:rsidRPr="004D4F2F">
        <w:rPr>
          <w:rFonts w:ascii="Arial" w:eastAsia="Times New Roman" w:hAnsi="Arial" w:cs="Arial"/>
          <w:color w:val="000000"/>
          <w:kern w:val="0"/>
          <w:sz w:val="24"/>
          <w:szCs w:val="24"/>
          <w:lang w:eastAsia="en-GB"/>
          <w14:ligatures w14:val="none"/>
        </w:rPr>
        <w:lastRenderedPageBreak/>
        <w:t>(sex and age class) and spatial effects (block) to control for these non-genetic effects. Any spatial or demographic effects that accounted for 10% or more of the total variation were included in all three subsequent models (block and age class were fit as random effects, and sex was included as a fixed effect in both Fixed Regions and Fixed Populations models). Then, a model with all factors as random effects (“Variance components” model) was fitted to the data to partition variance into each of the hierarchical levels of relatedness (Families within Populations, and Populations within Regions) (research question one). The variance component models were also used to calculate narrow-sense heritability (h</w:t>
      </w:r>
      <w:r w:rsidRPr="004D4F2F">
        <w:rPr>
          <w:rFonts w:ascii="Arial" w:eastAsia="Times New Roman" w:hAnsi="Arial" w:cs="Arial"/>
          <w:color w:val="000000"/>
          <w:kern w:val="0"/>
          <w:sz w:val="24"/>
          <w:szCs w:val="24"/>
          <w:vertAlign w:val="superscript"/>
          <w:lang w:eastAsia="en-GB"/>
          <w14:ligatures w14:val="none"/>
        </w:rPr>
        <w:t>2</w:t>
      </w:r>
      <w:r w:rsidRPr="004D4F2F">
        <w:rPr>
          <w:rFonts w:ascii="Arial" w:eastAsia="Times New Roman" w:hAnsi="Arial" w:cs="Arial"/>
          <w:color w:val="000000"/>
          <w:kern w:val="0"/>
          <w:sz w:val="24"/>
          <w:szCs w:val="24"/>
          <w:lang w:eastAsia="en-GB"/>
          <w14:ligatures w14:val="none"/>
        </w:rPr>
        <w:t>). To calculate h</w:t>
      </w:r>
      <w:r w:rsidRPr="004D4F2F">
        <w:rPr>
          <w:rFonts w:ascii="Arial" w:eastAsia="Times New Roman" w:hAnsi="Arial" w:cs="Arial"/>
          <w:color w:val="000000"/>
          <w:kern w:val="0"/>
          <w:sz w:val="24"/>
          <w:szCs w:val="24"/>
          <w:vertAlign w:val="superscript"/>
          <w:lang w:eastAsia="en-GB"/>
          <w14:ligatures w14:val="none"/>
        </w:rPr>
        <w:t>2</w:t>
      </w:r>
      <w:r w:rsidRPr="004D4F2F">
        <w:rPr>
          <w:rFonts w:ascii="Arial" w:eastAsia="Times New Roman" w:hAnsi="Arial" w:cs="Arial"/>
          <w:color w:val="000000"/>
          <w:kern w:val="0"/>
          <w:sz w:val="24"/>
          <w:szCs w:val="24"/>
          <w:lang w:eastAsia="en-GB"/>
          <w14:ligatures w14:val="none"/>
        </w:rPr>
        <w:t xml:space="preserve"> we assumed a half-sib/open- pollinated mating design, meaning that additive genetic variance (V</w:t>
      </w:r>
      <w:r w:rsidRPr="004D4F2F">
        <w:rPr>
          <w:rFonts w:ascii="Arial" w:eastAsia="Times New Roman" w:hAnsi="Arial" w:cs="Arial"/>
          <w:color w:val="000000"/>
          <w:kern w:val="0"/>
          <w:sz w:val="24"/>
          <w:szCs w:val="24"/>
          <w:vertAlign w:val="subscript"/>
          <w:lang w:eastAsia="en-GB"/>
          <w14:ligatures w14:val="none"/>
        </w:rPr>
        <w:t>a</w:t>
      </w:r>
      <w:r w:rsidRPr="004D4F2F">
        <w:rPr>
          <w:rFonts w:ascii="Arial" w:eastAsia="Times New Roman" w:hAnsi="Arial" w:cs="Arial"/>
          <w:color w:val="000000"/>
          <w:kern w:val="0"/>
          <w:sz w:val="24"/>
          <w:szCs w:val="24"/>
          <w:lang w:eastAsia="en-GB"/>
          <w14:ligatures w14:val="none"/>
        </w:rPr>
        <w:t>) was calculated as 4*V</w:t>
      </w:r>
      <w:r w:rsidRPr="004D4F2F">
        <w:rPr>
          <w:rFonts w:ascii="Arial" w:eastAsia="Times New Roman" w:hAnsi="Arial" w:cs="Arial"/>
          <w:color w:val="000000"/>
          <w:kern w:val="0"/>
          <w:sz w:val="24"/>
          <w:szCs w:val="24"/>
          <w:vertAlign w:val="subscript"/>
          <w:lang w:eastAsia="en-GB"/>
          <w14:ligatures w14:val="none"/>
        </w:rPr>
        <w:t xml:space="preserve">fam. </w:t>
      </w:r>
      <w:r w:rsidRPr="004D4F2F">
        <w:rPr>
          <w:rFonts w:ascii="Arial" w:eastAsia="Times New Roman" w:hAnsi="Arial" w:cs="Arial"/>
          <w:color w:val="000000"/>
          <w:kern w:val="0"/>
          <w:sz w:val="24"/>
          <w:szCs w:val="24"/>
          <w:lang w:eastAsia="en-GB"/>
          <w14:ligatures w14:val="none"/>
        </w:rPr>
        <w:t>Total phenotypic variance (Vp) was calculated as the sum of all factor’s variance components, including regions, populations, families and any significant covariates. Therefore, heritability was calculated as: h</w:t>
      </w:r>
      <w:r w:rsidRPr="004D4F2F">
        <w:rPr>
          <w:rFonts w:ascii="Arial" w:eastAsia="Times New Roman" w:hAnsi="Arial" w:cs="Arial"/>
          <w:color w:val="000000"/>
          <w:kern w:val="0"/>
          <w:sz w:val="24"/>
          <w:szCs w:val="24"/>
          <w:vertAlign w:val="superscript"/>
          <w:lang w:eastAsia="en-GB"/>
          <w14:ligatures w14:val="none"/>
        </w:rPr>
        <w:t xml:space="preserve">2 </w:t>
      </w:r>
      <w:r w:rsidRPr="004D4F2F">
        <w:rPr>
          <w:rFonts w:ascii="Arial" w:eastAsia="Times New Roman" w:hAnsi="Arial" w:cs="Arial"/>
          <w:color w:val="000000"/>
          <w:kern w:val="0"/>
          <w:sz w:val="24"/>
          <w:szCs w:val="24"/>
          <w:lang w:eastAsia="en-GB"/>
          <w14:ligatures w14:val="none"/>
        </w:rPr>
        <w:t>=(4*V</w:t>
      </w:r>
      <w:r w:rsidRPr="004D4F2F">
        <w:rPr>
          <w:rFonts w:ascii="Arial" w:eastAsia="Times New Roman" w:hAnsi="Arial" w:cs="Arial"/>
          <w:color w:val="000000"/>
          <w:kern w:val="0"/>
          <w:sz w:val="24"/>
          <w:szCs w:val="24"/>
          <w:vertAlign w:val="subscript"/>
          <w:lang w:eastAsia="en-GB"/>
          <w14:ligatures w14:val="none"/>
        </w:rPr>
        <w:t>fam</w:t>
      </w:r>
      <w:r w:rsidRPr="004D4F2F">
        <w:rPr>
          <w:rFonts w:ascii="Arial" w:eastAsia="Times New Roman" w:hAnsi="Arial" w:cs="Arial"/>
          <w:color w:val="000000"/>
          <w:kern w:val="0"/>
          <w:sz w:val="24"/>
          <w:szCs w:val="24"/>
          <w:lang w:eastAsia="en-GB"/>
          <w14:ligatures w14:val="none"/>
        </w:rPr>
        <w:t xml:space="preserve">)/Vp. Finally, regions and populations were each compared to trait values as fixed effects to evaluate how these traits differed among them, and to identify potential local adaptations (research question two). </w:t>
      </w:r>
    </w:p>
    <w:p w14:paraId="0E6A571E" w14:textId="77777777" w:rsidR="00EF5EE1" w:rsidRPr="004D4F2F" w:rsidRDefault="00EF5EE1" w:rsidP="00EF5EE1">
      <w:pPr>
        <w:pStyle w:val="Caption"/>
        <w:spacing w:line="276" w:lineRule="auto"/>
        <w:jc w:val="center"/>
        <w:rPr>
          <w:rFonts w:ascii="Arial" w:eastAsia="Times New Roman" w:hAnsi="Arial" w:cs="Arial"/>
          <w:color w:val="000000"/>
          <w:kern w:val="0"/>
          <w:sz w:val="24"/>
          <w:szCs w:val="24"/>
          <w:lang w:eastAsia="en-GB"/>
          <w14:ligatures w14:val="none"/>
        </w:rPr>
      </w:pPr>
      <w:bookmarkStart w:id="23" w:name="_Toc211511679"/>
      <w:bookmarkStart w:id="24" w:name="_Toc211594175"/>
      <w:bookmarkStart w:id="25" w:name="_Toc212797514"/>
      <w:r w:rsidRPr="004D4F2F">
        <w:rPr>
          <w:rFonts w:ascii="Arial" w:hAnsi="Arial" w:cs="Arial"/>
          <w:sz w:val="24"/>
          <w:szCs w:val="24"/>
        </w:rPr>
        <w:t xml:space="preserve">Table </w:t>
      </w:r>
      <w:r w:rsidRPr="004D4F2F">
        <w:rPr>
          <w:rFonts w:ascii="Arial" w:hAnsi="Arial" w:cs="Arial"/>
          <w:sz w:val="24"/>
          <w:szCs w:val="24"/>
        </w:rPr>
        <w:fldChar w:fldCharType="begin"/>
      </w:r>
      <w:r w:rsidRPr="004D4F2F">
        <w:rPr>
          <w:rFonts w:ascii="Arial" w:hAnsi="Arial" w:cs="Arial"/>
          <w:sz w:val="24"/>
          <w:szCs w:val="24"/>
        </w:rPr>
        <w:instrText xml:space="preserve"> STYLEREF 1 \s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noBreakHyphen/>
      </w:r>
      <w:r w:rsidRPr="004D4F2F">
        <w:rPr>
          <w:rFonts w:ascii="Arial" w:hAnsi="Arial" w:cs="Arial"/>
          <w:sz w:val="24"/>
          <w:szCs w:val="24"/>
        </w:rPr>
        <w:fldChar w:fldCharType="begin"/>
      </w:r>
      <w:r w:rsidRPr="004D4F2F">
        <w:rPr>
          <w:rFonts w:ascii="Arial" w:hAnsi="Arial" w:cs="Arial"/>
          <w:sz w:val="24"/>
          <w:szCs w:val="24"/>
        </w:rPr>
        <w:instrText xml:space="preserve"> SEQ Table \* ARABIC \s 1 </w:instrText>
      </w:r>
      <w:r w:rsidRPr="004D4F2F">
        <w:rPr>
          <w:rFonts w:ascii="Arial" w:hAnsi="Arial" w:cs="Arial"/>
          <w:sz w:val="24"/>
          <w:szCs w:val="24"/>
        </w:rPr>
        <w:fldChar w:fldCharType="separate"/>
      </w:r>
      <w:r>
        <w:rPr>
          <w:rFonts w:ascii="Arial" w:hAnsi="Arial" w:cs="Arial"/>
          <w:noProof/>
          <w:sz w:val="24"/>
          <w:szCs w:val="24"/>
        </w:rPr>
        <w:t>4</w:t>
      </w:r>
      <w:r w:rsidRPr="004D4F2F">
        <w:rPr>
          <w:rFonts w:ascii="Arial" w:hAnsi="Arial" w:cs="Arial"/>
          <w:sz w:val="24"/>
          <w:szCs w:val="24"/>
        </w:rPr>
        <w:fldChar w:fldCharType="end"/>
      </w:r>
      <w:r w:rsidRPr="004D4F2F">
        <w:rPr>
          <w:rFonts w:ascii="Arial" w:hAnsi="Arial" w:cs="Arial"/>
          <w:sz w:val="24"/>
          <w:szCs w:val="24"/>
        </w:rPr>
        <w:t>: The specifications for all models tested for ordinal, continuous and ratio data types.</w:t>
      </w:r>
      <w:bookmarkEnd w:id="23"/>
      <w:bookmarkEnd w:id="24"/>
      <w:bookmarkEnd w:id="25"/>
      <w:r w:rsidRPr="004D4F2F">
        <w:rPr>
          <w:rFonts w:ascii="Arial" w:hAnsi="Arial" w:cs="Arial"/>
          <w:sz w:val="24"/>
          <w:szCs w:val="24"/>
        </w:rPr>
        <w:t xml:space="preserve"> </w:t>
      </w:r>
    </w:p>
    <w:tbl>
      <w:tblPr>
        <w:tblW w:w="8394" w:type="dxa"/>
        <w:jc w:val="center"/>
        <w:tblLook w:val="04A0" w:firstRow="1" w:lastRow="0" w:firstColumn="1" w:lastColumn="0" w:noHBand="0" w:noVBand="1"/>
      </w:tblPr>
      <w:tblGrid>
        <w:gridCol w:w="2140"/>
        <w:gridCol w:w="6254"/>
      </w:tblGrid>
      <w:tr w:rsidR="00EF5EE1" w:rsidRPr="004D4F2F" w14:paraId="5768CF0A" w14:textId="77777777" w:rsidTr="00EB1595">
        <w:trPr>
          <w:trHeight w:val="315"/>
          <w:jc w:val="center"/>
        </w:trPr>
        <w:tc>
          <w:tcPr>
            <w:tcW w:w="2140" w:type="dxa"/>
            <w:tcBorders>
              <w:top w:val="single" w:sz="4" w:space="0" w:color="auto"/>
              <w:left w:val="nil"/>
              <w:bottom w:val="single" w:sz="8" w:space="0" w:color="auto"/>
              <w:right w:val="single" w:sz="4" w:space="0" w:color="auto"/>
            </w:tcBorders>
            <w:shd w:val="clear" w:color="auto" w:fill="auto"/>
            <w:noWrap/>
            <w:vAlign w:val="bottom"/>
            <w:hideMark/>
          </w:tcPr>
          <w:p w14:paraId="209CBFD0" w14:textId="77777777" w:rsidR="00EF5EE1" w:rsidRPr="004D4F2F" w:rsidRDefault="00EF5EE1" w:rsidP="00EB1595">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Model</w:t>
            </w:r>
          </w:p>
        </w:tc>
        <w:tc>
          <w:tcPr>
            <w:tcW w:w="6254" w:type="dxa"/>
            <w:tcBorders>
              <w:top w:val="single" w:sz="4" w:space="0" w:color="auto"/>
              <w:left w:val="nil"/>
              <w:bottom w:val="single" w:sz="8" w:space="0" w:color="auto"/>
              <w:right w:val="nil"/>
            </w:tcBorders>
            <w:shd w:val="clear" w:color="auto" w:fill="auto"/>
            <w:noWrap/>
            <w:vAlign w:val="bottom"/>
            <w:hideMark/>
          </w:tcPr>
          <w:p w14:paraId="387764F5"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Specification</w:t>
            </w:r>
          </w:p>
        </w:tc>
      </w:tr>
      <w:tr w:rsidR="00EF5EE1" w:rsidRPr="004D4F2F" w14:paraId="7C4B48F6" w14:textId="77777777" w:rsidTr="00EB1595">
        <w:trPr>
          <w:trHeight w:val="300"/>
          <w:jc w:val="center"/>
        </w:trPr>
        <w:tc>
          <w:tcPr>
            <w:tcW w:w="2140" w:type="dxa"/>
            <w:tcBorders>
              <w:top w:val="nil"/>
              <w:left w:val="nil"/>
              <w:bottom w:val="nil"/>
              <w:right w:val="single" w:sz="4" w:space="0" w:color="auto"/>
            </w:tcBorders>
            <w:shd w:val="clear" w:color="auto" w:fill="auto"/>
            <w:noWrap/>
            <w:vAlign w:val="center"/>
            <w:hideMark/>
          </w:tcPr>
          <w:p w14:paraId="6ADB89C6"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Spatial</w:t>
            </w:r>
          </w:p>
        </w:tc>
        <w:tc>
          <w:tcPr>
            <w:tcW w:w="6254" w:type="dxa"/>
            <w:tcBorders>
              <w:top w:val="nil"/>
              <w:left w:val="nil"/>
              <w:bottom w:val="nil"/>
              <w:right w:val="nil"/>
            </w:tcBorders>
            <w:shd w:val="clear" w:color="auto" w:fill="auto"/>
            <w:noWrap/>
            <w:vAlign w:val="center"/>
            <w:hideMark/>
          </w:tcPr>
          <w:p w14:paraId="0341544A"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 (1|Block)</w:t>
            </w:r>
          </w:p>
        </w:tc>
      </w:tr>
      <w:tr w:rsidR="00EF5EE1" w:rsidRPr="004D4F2F" w14:paraId="14B06D0B" w14:textId="77777777" w:rsidTr="00EB1595">
        <w:trPr>
          <w:trHeight w:val="300"/>
          <w:jc w:val="center"/>
        </w:trPr>
        <w:tc>
          <w:tcPr>
            <w:tcW w:w="2140" w:type="dxa"/>
            <w:tcBorders>
              <w:top w:val="nil"/>
              <w:left w:val="nil"/>
              <w:bottom w:val="nil"/>
              <w:right w:val="single" w:sz="4" w:space="0" w:color="auto"/>
            </w:tcBorders>
            <w:shd w:val="clear" w:color="auto" w:fill="auto"/>
            <w:noWrap/>
            <w:vAlign w:val="center"/>
            <w:hideMark/>
          </w:tcPr>
          <w:p w14:paraId="6F3AFA68"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Demographic</w:t>
            </w:r>
          </w:p>
        </w:tc>
        <w:tc>
          <w:tcPr>
            <w:tcW w:w="6254" w:type="dxa"/>
            <w:tcBorders>
              <w:top w:val="nil"/>
              <w:left w:val="nil"/>
              <w:bottom w:val="nil"/>
              <w:right w:val="nil"/>
            </w:tcBorders>
            <w:shd w:val="clear" w:color="auto" w:fill="auto"/>
            <w:noWrap/>
            <w:vAlign w:val="center"/>
            <w:hideMark/>
          </w:tcPr>
          <w:p w14:paraId="44A54E0F"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 (1| Sex) + (1|Age class)</w:t>
            </w:r>
          </w:p>
        </w:tc>
      </w:tr>
      <w:tr w:rsidR="00EF5EE1" w:rsidRPr="004D4F2F" w14:paraId="639DD1F6" w14:textId="77777777" w:rsidTr="00EB1595">
        <w:trPr>
          <w:trHeight w:val="300"/>
          <w:jc w:val="center"/>
        </w:trPr>
        <w:tc>
          <w:tcPr>
            <w:tcW w:w="2140" w:type="dxa"/>
            <w:tcBorders>
              <w:top w:val="nil"/>
              <w:left w:val="nil"/>
              <w:bottom w:val="nil"/>
              <w:right w:val="single" w:sz="4" w:space="0" w:color="auto"/>
            </w:tcBorders>
            <w:shd w:val="clear" w:color="auto" w:fill="auto"/>
            <w:noWrap/>
            <w:vAlign w:val="center"/>
            <w:hideMark/>
          </w:tcPr>
          <w:p w14:paraId="4F53FF6F"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Variance components</w:t>
            </w:r>
          </w:p>
        </w:tc>
        <w:tc>
          <w:tcPr>
            <w:tcW w:w="6254" w:type="dxa"/>
            <w:tcBorders>
              <w:top w:val="nil"/>
              <w:left w:val="nil"/>
              <w:bottom w:val="nil"/>
              <w:right w:val="nil"/>
            </w:tcBorders>
            <w:shd w:val="clear" w:color="auto" w:fill="auto"/>
            <w:noWrap/>
            <w:vAlign w:val="center"/>
            <w:hideMark/>
          </w:tcPr>
          <w:p w14:paraId="647B2741"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 (1|Region/ Pop /Fam) + (1| significant spatial/demographic factors)</w:t>
            </w:r>
          </w:p>
        </w:tc>
      </w:tr>
      <w:tr w:rsidR="00EF5EE1" w:rsidRPr="004D4F2F" w14:paraId="687D81D6" w14:textId="77777777" w:rsidTr="00EB1595">
        <w:trPr>
          <w:trHeight w:val="300"/>
          <w:jc w:val="center"/>
        </w:trPr>
        <w:tc>
          <w:tcPr>
            <w:tcW w:w="2140" w:type="dxa"/>
            <w:tcBorders>
              <w:top w:val="nil"/>
              <w:left w:val="nil"/>
              <w:bottom w:val="nil"/>
              <w:right w:val="single" w:sz="4" w:space="0" w:color="auto"/>
            </w:tcBorders>
            <w:shd w:val="clear" w:color="auto" w:fill="auto"/>
            <w:noWrap/>
            <w:vAlign w:val="center"/>
            <w:hideMark/>
          </w:tcPr>
          <w:p w14:paraId="388CB30B"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Fixed Regions</w:t>
            </w:r>
          </w:p>
        </w:tc>
        <w:tc>
          <w:tcPr>
            <w:tcW w:w="6254" w:type="dxa"/>
            <w:tcBorders>
              <w:top w:val="nil"/>
              <w:left w:val="nil"/>
              <w:bottom w:val="nil"/>
              <w:right w:val="nil"/>
            </w:tcBorders>
            <w:shd w:val="clear" w:color="auto" w:fill="auto"/>
            <w:noWrap/>
            <w:vAlign w:val="center"/>
            <w:hideMark/>
          </w:tcPr>
          <w:p w14:paraId="08BD7D53"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 Region + (1|Pop /Fam) + (1| significant spatial/demographic factors)</w:t>
            </w:r>
          </w:p>
        </w:tc>
      </w:tr>
      <w:tr w:rsidR="00EF5EE1" w:rsidRPr="004D4F2F" w14:paraId="1044A58D" w14:textId="77777777" w:rsidTr="00EB1595">
        <w:trPr>
          <w:trHeight w:val="300"/>
          <w:jc w:val="center"/>
        </w:trPr>
        <w:tc>
          <w:tcPr>
            <w:tcW w:w="2140" w:type="dxa"/>
            <w:tcBorders>
              <w:top w:val="nil"/>
              <w:left w:val="nil"/>
              <w:bottom w:val="nil"/>
              <w:right w:val="single" w:sz="4" w:space="0" w:color="auto"/>
            </w:tcBorders>
            <w:shd w:val="clear" w:color="auto" w:fill="auto"/>
            <w:noWrap/>
            <w:vAlign w:val="center"/>
            <w:hideMark/>
          </w:tcPr>
          <w:p w14:paraId="31EAE0C9"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Fixed Pops</w:t>
            </w:r>
          </w:p>
        </w:tc>
        <w:tc>
          <w:tcPr>
            <w:tcW w:w="6254" w:type="dxa"/>
            <w:tcBorders>
              <w:top w:val="nil"/>
              <w:left w:val="nil"/>
              <w:bottom w:val="nil"/>
              <w:right w:val="nil"/>
            </w:tcBorders>
            <w:shd w:val="clear" w:color="auto" w:fill="auto"/>
            <w:noWrap/>
            <w:vAlign w:val="center"/>
            <w:hideMark/>
          </w:tcPr>
          <w:p w14:paraId="1ABE4408" w14:textId="77777777" w:rsidR="00EF5EE1" w:rsidRPr="004D4F2F" w:rsidRDefault="00EF5EE1" w:rsidP="00EB1595">
            <w:pPr>
              <w:spacing w:after="0" w:line="276" w:lineRule="auto"/>
              <w:jc w:val="center"/>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 Pop + (1|Fam) + (1| significant spatial/demographic factors)</w:t>
            </w:r>
          </w:p>
        </w:tc>
      </w:tr>
    </w:tbl>
    <w:p w14:paraId="348FC001"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p>
    <w:p w14:paraId="09C5BF88"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Data collected at the Cardrona field site included 4 general types of data: continuous, ratio/proportion, categorical/binary and ordinal-repeated measures (Table 3). Although the general step-wise approach, that of testing for demographic and spatial effects then controlling for these effects in subsequent models, was adopted for each of the 13 traits, the specific model type and specifications depended on the type of data. </w:t>
      </w:r>
    </w:p>
    <w:p w14:paraId="02517DBB"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ab/>
        <w:t xml:space="preserve">Binary/ categorical data: </w:t>
      </w:r>
      <w:r w:rsidRPr="004D4F2F">
        <w:rPr>
          <w:rFonts w:ascii="Arial" w:eastAsia="Times New Roman" w:hAnsi="Arial" w:cs="Arial"/>
          <w:color w:val="000000"/>
          <w:kern w:val="0"/>
          <w:sz w:val="24"/>
          <w:szCs w:val="24"/>
          <w:lang w:eastAsia="en-GB"/>
          <w14:ligatures w14:val="none"/>
        </w:rPr>
        <w:t xml:space="preserve">The occurrences of plant deaths, sex and growth habit were binary (deaths and sex) or categorical (growth habit). Binary data required methods that could not accommodate the step-wise model structure described above. Differences in the frequency of deaths and the sex ratio overall and among populations were evaluated using Chi-Squared and Fischer’s exact tests. Frequency tables were calculated overall and by both Populations and Regions, and these tests were run on each grouping. </w:t>
      </w:r>
    </w:p>
    <w:p w14:paraId="0B5120B1"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Growth habit assessments, being based  on three categories (“upright,” “prostrate” and “intermediate”), were analysed with multinomial models using the </w:t>
      </w:r>
      <w:r w:rsidRPr="004D4F2F">
        <w:rPr>
          <w:rFonts w:ascii="Arial" w:eastAsia="Times New Roman" w:hAnsi="Arial" w:cs="Arial"/>
          <w:color w:val="000000"/>
          <w:kern w:val="0"/>
          <w:sz w:val="24"/>
          <w:szCs w:val="24"/>
          <w:lang w:eastAsia="en-GB"/>
          <w14:ligatures w14:val="none"/>
        </w:rPr>
        <w:lastRenderedPageBreak/>
        <w:t xml:space="preserve">“mcgv” package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&lt;EndNote&gt;&lt;Cite&gt;&lt;Author&gt;Wood&lt;/Author&gt;&lt;Year&gt;2017&lt;/Year&gt;&lt;RecNum&gt;333&lt;/RecNum&gt;&lt;DisplayText&gt;(Wood, 2017)&lt;/DisplayText&gt;&lt;record&gt;&lt;rec-number&gt;333&lt;/rec-number&gt;&lt;foreign-keys&gt;&lt;key app="EN" db-id="pfzs2ar9rdw9daedvs5pzfpc5tttrr9d0rps" timestamp="1758535597"&gt;333&lt;/key&gt;&lt;/foreign-keys&gt;&lt;ref-type name="Book"&gt;6&lt;/ref-type&gt;&lt;contributors&gt;&lt;authors&gt;&lt;author&gt;Wood, Simon N&lt;/author&gt;&lt;/authors&gt;&lt;/contributors&gt;&lt;titles&gt;&lt;title&gt;Generalized additive models: an introduction with R&lt;/title&gt;&lt;/titles&gt;&lt;dates&gt;&lt;year&gt;2017&lt;/year&gt;&lt;/dates&gt;&lt;publisher&gt;chapman and hall/CRC&lt;/publisher&gt;&lt;isbn&gt;1315370271&lt;/isbn&gt;&lt;urls&gt;&lt;/urls&gt;&lt;/record&gt;&lt;/Cite&gt;&lt;/EndNote&gt;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(Wood, 2017)</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These models allowed random effects, and so the same step-wise approach described above was applied to growth habit. </w:t>
      </w:r>
    </w:p>
    <w:p w14:paraId="425FCACB"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r>
      <w:r w:rsidRPr="004D4F2F">
        <w:rPr>
          <w:rFonts w:ascii="Arial" w:eastAsia="Times New Roman" w:hAnsi="Arial" w:cs="Arial"/>
          <w:i/>
          <w:iCs/>
          <w:color w:val="000000"/>
          <w:kern w:val="0"/>
          <w:sz w:val="24"/>
          <w:szCs w:val="24"/>
          <w:lang w:eastAsia="en-GB"/>
          <w14:ligatures w14:val="none"/>
        </w:rPr>
        <w:t xml:space="preserve">Continuous data: </w:t>
      </w:r>
      <w:r w:rsidRPr="004D4F2F">
        <w:rPr>
          <w:rFonts w:ascii="Arial" w:eastAsia="Times New Roman" w:hAnsi="Arial" w:cs="Arial"/>
          <w:color w:val="000000"/>
          <w:kern w:val="0"/>
          <w:sz w:val="24"/>
          <w:szCs w:val="24"/>
          <w:lang w:eastAsia="en-GB"/>
          <w14:ligatures w14:val="none"/>
        </w:rPr>
        <w:t xml:space="preserve">The following five continuous traits were measured: St_len, St_diam, Nd_len, Nd_wid and Ext. These are unbounded numeric values and so were analysed using linear mixed models (LMEs)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&lt;EndNote&gt;&lt;Cite&gt;&lt;Author&gt;Bates&lt;/Author&gt;&lt;Year&gt;2015&lt;/Year&gt;&lt;RecNum&gt;310&lt;/RecNum&gt;&lt;DisplayText&gt;(Bates et al., 2015)&lt;/DisplayText&gt;&lt;record&gt;&lt;rec-number&gt;310&lt;/rec-number&gt;&lt;foreign-keys&gt;&lt;key app="EN" db-id="pfzs2ar9rdw9daedvs5pzfpc5tttrr9d0rps" timestamp="1754301546"&gt;310&lt;/key&gt;&lt;/foreign-keys&gt;&lt;ref-type name="Journal Article"&gt;17&lt;/ref-type&gt;&lt;contributors&gt;&lt;authors&gt;&lt;author&gt;Bates, Douglas&lt;/author&gt;&lt;author&gt;Mächler, Martin&lt;/author&gt;&lt;author&gt;Bolker, Ben&lt;/author&gt;&lt;author&gt;Walker, Steve&lt;/author&gt;&lt;/authors&gt;&lt;/contributors&gt;&lt;titles&gt;&lt;title&gt;Fitting Linear Mixed-Effects Models Using&amp;lt;b&amp;gt;lme4&amp;lt;/b&amp;gt;&lt;/title&gt;&lt;secondary-title&gt;Journal of Statistical Software&lt;/secondary-title&gt;&lt;/titles&gt;&lt;periodical&gt;&lt;full-title&gt;Journal of Statistical Software&lt;/full-title&gt;&lt;/periodical&gt;&lt;volume&gt;67&lt;/volume&gt;&lt;number&gt;1&lt;/number&gt;&lt;dates&gt;&lt;year&gt;2015&lt;/year&gt;&lt;/dates&gt;&lt;publisher&gt;Foundation for Open Access Statistic&lt;/publisher&gt;&lt;isbn&gt;1548-7660&lt;/isbn&gt;&lt;urls&gt;&lt;related-urls&gt;&lt;url&gt;https://dx.doi.org/10.18637/jss.v067.i01&lt;/url&gt;&lt;/related-urls&gt;&lt;/urls&gt;&lt;electronic-resource-num&gt;10.18637/jss.v067.i01&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(Bates et al., 2015)</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which allowed for both fixed and random effects. </w:t>
      </w:r>
    </w:p>
    <w:p w14:paraId="6FF3A9D2"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r>
      <w:r w:rsidRPr="004D4F2F">
        <w:rPr>
          <w:rFonts w:ascii="Arial" w:eastAsia="Times New Roman" w:hAnsi="Arial" w:cs="Arial"/>
          <w:i/>
          <w:iCs/>
          <w:color w:val="000000"/>
          <w:kern w:val="0"/>
          <w:sz w:val="24"/>
          <w:szCs w:val="24"/>
          <w:lang w:eastAsia="en-GB"/>
          <w14:ligatures w14:val="none"/>
        </w:rPr>
        <w:t xml:space="preserve">Ordinal-repeated measures data: </w:t>
      </w:r>
      <w:r w:rsidRPr="004D4F2F">
        <w:rPr>
          <w:rFonts w:ascii="Arial" w:eastAsia="Times New Roman" w:hAnsi="Arial" w:cs="Arial"/>
          <w:color w:val="000000"/>
          <w:kern w:val="0"/>
          <w:sz w:val="24"/>
          <w:szCs w:val="24"/>
          <w:lang w:eastAsia="en-GB"/>
          <w14:ligatures w14:val="none"/>
        </w:rPr>
        <w:t xml:space="preserve">The BB and strobilus phenology data were both ordinal repeated-measures. These were evaluated with cumulative-link mixed models (CLMMs)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&lt;EndNote&gt;&lt;Cite&gt;&lt;Author&gt;Christensen&lt;/Author&gt;&lt;Year&gt;2023&lt;/Year&gt;&lt;RecNum&gt;334&lt;/RecNum&gt;&lt;DisplayText&gt;(Christensen, 2023)&lt;/DisplayText&gt;&lt;record&gt;&lt;rec-number&gt;334&lt;/rec-number&gt;&lt;foreign-keys&gt;&lt;key app="EN" db-id="pfzs2ar9rdw9daedvs5pzfpc5tttrr9d0rps" timestamp="1758535823"&gt;334&lt;/key&gt;&lt;/foreign-keys&gt;&lt;ref-type name="Computer Program"&gt;9&lt;/ref-type&gt;&lt;contributors&gt;&lt;authors&gt;&lt;author&gt;Christensen, Rune H. B.&lt;/author&gt;&lt;/authors&gt;&lt;/contributors&gt;&lt;titles&gt;&lt;title&gt;ordinal: Regression Models for Ordinal Data&lt;/title&gt;&lt;/titles&gt;&lt;dates&gt;&lt;year&gt;2023&lt;/year&gt;&lt;/dates&gt;&lt;urls&gt;&lt;related-urls&gt;&lt;url&gt;https://CRAN.R-project.org/package=ordinal&lt;/url&gt;&lt;/related-urls&gt;&lt;/urls&gt;&lt;custom1&gt;2023.12-4.1&lt;/custom1&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(Christensen, 2023)</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These data were fitted to models generally following the step-wise approach, but also included Plant ID and Date as random effects to control for repeated measurements on the same individuals. However, these repeat measures posed a problem in variance partitioning models, as they represent pseudoreplication. Therefore, variance partitioning models for repeat-measures designs were only calculated from data collected from single visits. For parsimony and to allow model convergence, the model comparing BB phenology over both years was fit as a “crossed” design, where the assessment dates were assumed to be the same over both years (i.e. assessment dates 1-5 rather than the specific dates from each year). Since assessment dates were similar, but not identical (Appendix 3), CLMMs were also fit to these data over both years independently. </w:t>
      </w:r>
    </w:p>
    <w:p w14:paraId="71C6D745"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ab/>
        <w:t xml:space="preserve">Proportion/ratio data: </w:t>
      </w:r>
      <w:r w:rsidRPr="004D4F2F">
        <w:rPr>
          <w:rFonts w:ascii="Arial" w:eastAsia="Times New Roman" w:hAnsi="Arial" w:cs="Arial"/>
          <w:color w:val="000000"/>
          <w:kern w:val="0"/>
          <w:sz w:val="24"/>
          <w:szCs w:val="24"/>
          <w:lang w:eastAsia="en-GB"/>
          <w14:ligatures w14:val="none"/>
        </w:rPr>
        <w:t xml:space="preserve">Plant health and CF measurements (Fv/Fm) were proportional and ratio data, respectively, both of which being bounded between 0 and 1 and notably left-skewed. These data were analysed using general additive beta-binomial regression models which allow for the inclusion of fixed and random effects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&lt;EndNote&gt;&lt;Cite&gt;&lt;Author&gt;Brooks&lt;/Author&gt;&lt;Year&gt;2017&lt;/Year&gt;&lt;RecNum&gt;293&lt;/RecNum&gt;&lt;DisplayText&gt;(Brooks et al., 2017)&lt;/DisplayText&gt;&lt;record&gt;&lt;rec-number&gt;293&lt;/rec-number&gt;&lt;foreign-keys&gt;&lt;key app="EN" db-id="pfzs2ar9rdw9daedvs5pzfpc5tttrr9d0rps" timestamp="1748347924"&gt;293&lt;/key&gt;&lt;/foreign-keys&gt;&lt;ref-type name="Journal Article"&gt;17&lt;/ref-type&gt;&lt;contributors&gt;&lt;authors&gt;&lt;author&gt;Brooks, Mollie E&lt;/author&gt;&lt;author&gt;Kristensen, Kasper&lt;/author&gt;&lt;author&gt;Van Benthem, Koen J&lt;/author&gt;&lt;author&gt;Magnusson, Arni&lt;/author&gt;&lt;author&gt;Berg, Casper W&lt;/author&gt;&lt;author&gt;Nielsen, Anders&lt;/author&gt;&lt;author&gt;Skaug, Hans J&lt;/author&gt;&lt;author&gt;Mächler, Martin&lt;/author&gt;&lt;author&gt;Bolker, Benjamin M&lt;/author&gt;&lt;/authors&gt;&lt;/contributors&gt;&lt;titles&gt;&lt;title&gt;glmmTMB balances speed and flexibility among packages for zero-inflated generalized linear mixed modeling&lt;/title&gt;&lt;/titles&gt;&lt;dates&gt;&lt;year&gt;2017&lt;/year&gt;&lt;/dates&gt;&lt;urls&gt;&lt;/urls&gt;&lt;/record&gt;&lt;/Cite&gt;&lt;/EndNote&gt;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(Brooks et al., 2017)</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w:t>
      </w:r>
    </w:p>
    <w:p w14:paraId="743D672D"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CF measurements were also repeated measures taken over three assessment dates. Therefore, beta-binomial models were fitted to CF data for all three assessment dates as well as for each assessment date independently. In the overall model, Plant ID was included as a random effect to control for the repeated measurement of individuals. Similarly to the BB data, however, including multiple assessment dates in variance partitioning models represent a type of pseudoreplication, and so the partitioning model was calculated independently for each visit. Furthermore, interaction models were fitted to the overall data to compare how photosynthetic activity varied among populations and regions across assessment dates. </w:t>
      </w:r>
    </w:p>
    <w:p w14:paraId="72AC25F3" w14:textId="77777777" w:rsidR="00EF5EE1" w:rsidRPr="004D4F2F" w:rsidRDefault="00EF5EE1" w:rsidP="00EF5EE1">
      <w:pPr>
        <w:spacing w:after="0"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Finally, Munsell colour codes require special handling. These data describe colours along three dimensions: hue (x-axis), chroma (y-axis) and brightness (z-axis), with these dimensions being either ordinal (hue and chroma) or interval-scale (brightness) data. Since Munsell codes describe three dimensions of colour, they can be converted into Cartesian coordinates, positioning individuals in “colour space,” and the Euclidian distances among these locations can be used to test for differences among groups. Permutational Multivariate Analysis of variation (PERMANOVA) was implemented with “vegan”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&lt;EndNote&gt;&lt;Cite&gt;&lt;Author&gt;Oksanen&lt;/Author&gt;&lt;Year&gt;2025&lt;/Year&gt;&lt;RecNum&gt;335&lt;/RecNum&gt;&lt;DisplayText&gt;(Oksanen et al., 2025)&lt;/DisplayText&gt;&lt;record&gt;&lt;rec-number&gt;335&lt;/rec-number&gt;&lt;foreign-keys&gt;&lt;key app="EN" db-id="pfzs2ar9rdw9daedvs5pzfpc5tttrr9d0rps" timestamp="1758536245"&gt;335&lt;/key&gt;&lt;/foreign-keys&gt;&lt;ref-type name="Computer Program"&gt;9&lt;/ref-type&gt;&lt;contributors&gt;&lt;authors&gt;&lt;author&gt;Oksanen, Jari&lt;/author&gt;&lt;author&gt;Simpson, Gavin&lt;/author&gt;&lt;author&gt;Blanchet, F. Guillaume&lt;/author&gt;&lt;author&gt;Kindt, Roeland&lt;/author&gt;&lt;author&gt;Legendre, Pierre&lt;/author&gt;&lt;author&gt;Minchin, Peter R.&lt;/author&gt;&lt;author&gt;O&amp;apos;Hara, R. B.&lt;/author&gt;&lt;author&gt;Solymos, Peter&lt;/author&gt;&lt;author&gt;Stevens, M. Henry H.&lt;/author&gt;&lt;author&gt;Szoecs, Eduard&lt;/author&gt;&lt;author&gt;Wagner, Helene&lt;/author&gt;&lt;author&gt;Barbour, Michael&lt;/author&gt;&lt;author&gt;Bedward, Michael&lt;/author&gt;&lt;author&gt;Bolker, Ben&lt;/author&gt;&lt;author&gt;Borcard, Daniel&lt;/author&gt;&lt;author&gt;Borman, T.&lt;/author&gt;&lt;author&gt;Carvalho, G.&lt;/author&gt;&lt;author&gt;Chirico, M.&lt;/author&gt;&lt;author&gt;De Caceres, Miquel&lt;/author&gt;&lt;author&gt;Durand, S.&lt;/author&gt;&lt;author&gt;Evangelista, H. B.&lt;/author&gt;&lt;author&gt;FitzJohn, R.&lt;/author&gt;&lt;author&gt;Friendly, Michael&lt;/author&gt;&lt;author&gt;Furneaux, B.&lt;/author&gt;&lt;author&gt;Hannigan, G.&lt;/author&gt;&lt;author&gt;Hill, M. O.&lt;/author&gt;&lt;author&gt;Lahti, L.&lt;/author&gt;&lt;author&gt;Martino, C.&lt;/author&gt;&lt;author&gt;McGlinn, D.&lt;/author&gt;&lt;author&gt;Ouellette, M. E.&lt;/author&gt;&lt;author&gt;Ribeiro Cunha, E.&lt;/author&gt;&lt;author&gt;Smith, T.&lt;/author&gt;&lt;author&gt;Stier, A.&lt;/author&gt;&lt;author&gt;Ter Braak, Cajo J. F.&lt;/author&gt;&lt;author&gt;Weedon, J.&lt;/author&gt;&lt;/authors&gt;&lt;/contributors&gt;&lt;titles&gt;&lt;title&gt;vegan: Community Ecology Package&lt;/title&gt;&lt;/titles&gt;&lt;dates&gt;&lt;year&gt;2025&lt;/year&gt;&lt;/dates&gt;&lt;urls&gt;&lt;related-urls&gt;&lt;url&gt;https://CRAN.R-project.org/package=vegan&lt;/url&gt;&lt;/related-urls&gt;&lt;/urls&gt;&lt;custom1&gt;2.7-1&lt;/custom1&gt;&lt;electronic-resource-num&gt;10.32614/CRAN.package.vegan&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(Oksanen et al., 2025)</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but this does not allow random effects, and so only two fixed-effects model formulations were </w:t>
      </w:r>
      <w:r w:rsidRPr="004D4F2F">
        <w:rPr>
          <w:rFonts w:ascii="Arial" w:eastAsia="Times New Roman" w:hAnsi="Arial" w:cs="Arial"/>
          <w:color w:val="000000"/>
          <w:kern w:val="0"/>
          <w:sz w:val="24"/>
          <w:szCs w:val="24"/>
          <w:lang w:eastAsia="en-GB"/>
          <w14:ligatures w14:val="none"/>
        </w:rPr>
        <w:lastRenderedPageBreak/>
        <w:t xml:space="preserve">tested: one including Region and Population, and the other including Population and Family. </w:t>
      </w:r>
    </w:p>
    <w:p w14:paraId="5138DE2D" w14:textId="77777777" w:rsidR="00EF5EE1" w:rsidRPr="004D4F2F" w:rsidRDefault="00EF5EE1" w:rsidP="00EF5EE1">
      <w:pPr>
        <w:spacing w:line="276" w:lineRule="auto"/>
        <w:rPr>
          <w:rFonts w:ascii="Arial" w:eastAsia="Times New Roman" w:hAnsi="Arial" w:cs="Arial"/>
          <w:i/>
          <w:iCs/>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 xml:space="preserve">Climate data: </w:t>
      </w:r>
    </w:p>
    <w:p w14:paraId="0DB04AC7"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ab/>
      </w:r>
      <w:r w:rsidRPr="004D4F2F">
        <w:rPr>
          <w:rFonts w:ascii="Arial" w:eastAsia="Times New Roman" w:hAnsi="Arial" w:cs="Arial"/>
          <w:color w:val="000000"/>
          <w:kern w:val="0"/>
          <w:sz w:val="24"/>
          <w:szCs w:val="24"/>
          <w:lang w:eastAsia="en-GB"/>
          <w14:ligatures w14:val="none"/>
        </w:rPr>
        <w:t xml:space="preserve">Climate data for each source population and for the field site location were downloaded from the CHELSA database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&lt;EndNote&gt;&lt;Cite&gt;&lt;Author&gt;Karger&lt;/Author&gt;&lt;Year&gt;2017&lt;/Year&gt;&lt;RecNum&gt;336&lt;/RecNum&gt;&lt;DisplayText&gt;(Karger et al., 2017)&lt;/DisplayText&gt;&lt;record&gt;&lt;rec-number&gt;336&lt;/rec-number&gt;&lt;foreign-keys&gt;&lt;key app="EN" db-id="pfzs2ar9rdw9daedvs5pzfpc5tttrr9d0rps" timestamp="1758536352"&gt;336&lt;/key&gt;&lt;/foreign-keys&gt;&lt;ref-type name="Journal Article"&gt;17&lt;/ref-type&gt;&lt;contributors&gt;&lt;authors&gt;&lt;author&gt;Karger, Dirk Nikolaus&lt;/author&gt;&lt;author&gt;Conrad, Olaf&lt;/author&gt;&lt;author&gt;Böhner, Jürgen&lt;/author&gt;&lt;author&gt;Kawohl, Tobias&lt;/author&gt;&lt;author&gt;Kreft, Holger&lt;/author&gt;&lt;author&gt;Soria-Auza, Rodrigo Wilber&lt;/author&gt;&lt;author&gt;Zimmermann, Niklaus E.&lt;/author&gt;&lt;author&gt;Linder, H. Peter&lt;/author&gt;&lt;author&gt;Kessler, Michael&lt;/author&gt;&lt;/authors&gt;&lt;/contributors&gt;&lt;titles&gt;&lt;title&gt;Climatologies at high resolution for the earth’s land surface areas&lt;/title&gt;&lt;secondary-title&gt;Scientific Data&lt;/secondary-title&gt;&lt;/titles&gt;&lt;periodical&gt;&lt;full-title&gt;Scientific data&lt;/full-title&gt;&lt;/periodical&gt;&lt;pages&gt;170122&lt;/pages&gt;&lt;volume&gt;4&lt;/volume&gt;&lt;number&gt;1&lt;/number&gt;&lt;dates&gt;&lt;year&gt;2017&lt;/year&gt;&lt;/dates&gt;&lt;publisher&gt;Springer Science and Business Media LLC&lt;/publisher&gt;&lt;isbn&gt;2052-4463&lt;/isbn&gt;&lt;urls&gt;&lt;related-urls&gt;&lt;url&gt;https://dx.doi.org/10.1038/sdata.2017.122&lt;/url&gt;&lt;/related-urls&gt;&lt;/urls&gt;&lt;electronic-resource-num&gt;10.1038/sdata.2017.122&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(Karger et al., 2017)</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40-year monthly data for average minimum and maximum temperature (tasmin and tasmax, respectively), surface windspeed (SfcWind), climate moisture index (CMI) and total precipitation (pr) were downloaded using a custom Unix script and prepared/ visualized over time using R (Appendix 4). These variables were also used to calculate Growing Degree Days (GDD: average number of days/year with tasmin&gt;4°C), Mean Annual Temperature (MAT)</w:t>
      </w:r>
      <w:r>
        <w:rPr>
          <w:rFonts w:ascii="Arial" w:eastAsia="Times New Roman" w:hAnsi="Arial" w:cs="Arial"/>
          <w:color w:val="000000"/>
          <w:kern w:val="0"/>
          <w:sz w:val="24"/>
          <w:szCs w:val="24"/>
          <w:lang w:eastAsia="en-GB"/>
          <w14:ligatures w14:val="none"/>
        </w:rPr>
        <w:t xml:space="preserve"> and</w:t>
      </w:r>
      <w:r w:rsidRPr="004D4F2F">
        <w:rPr>
          <w:rFonts w:ascii="Arial" w:eastAsia="Times New Roman" w:hAnsi="Arial" w:cs="Arial"/>
          <w:color w:val="000000"/>
          <w:kern w:val="0"/>
          <w:sz w:val="24"/>
          <w:szCs w:val="24"/>
          <w:lang w:eastAsia="en-GB"/>
          <w14:ligatures w14:val="none"/>
        </w:rPr>
        <w:t xml:space="preserve"> Total Annual Precipitation (TAP). The number of fr</w:t>
      </w:r>
      <w:r w:rsidRPr="004D4F2F">
        <w:rPr>
          <w:rFonts w:ascii="Arial" w:hAnsi="Arial" w:cs="Arial"/>
          <w:sz w:val="24"/>
          <w:szCs w:val="24"/>
        </w:rPr>
        <w:t xml:space="preserve">ost months (calculated as the number of months with a mean tasmin of less than 0°C) and </w:t>
      </w:r>
      <w:r w:rsidRPr="004D4F2F">
        <w:rPr>
          <w:rFonts w:ascii="Arial" w:eastAsia="Times New Roman" w:hAnsi="Arial" w:cs="Arial"/>
          <w:color w:val="000000"/>
          <w:kern w:val="0"/>
          <w:sz w:val="24"/>
          <w:szCs w:val="24"/>
          <w:lang w:eastAsia="en-GB"/>
          <w14:ligatures w14:val="none"/>
        </w:rPr>
        <w:t xml:space="preserve">“climate severity” (calculated as scaled number of frost months- scaled cmi; calculated to represent a spectrum of cold and dry to wet and mild environments) were also estimated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&lt;EndNote&gt;&lt;Cite&gt;&lt;Author&gt;McMaster&lt;/Author&gt;&lt;Year&gt;1997&lt;/Year&gt;&lt;RecNum&gt;338&lt;/RecNum&gt;&lt;DisplayText&gt;(McMaster, 1997)&lt;/DisplayText&gt;&lt;record&gt;&lt;rec-number&gt;338&lt;/rec-number&gt;&lt;foreign-keys&gt;&lt;key app="EN" db-id="pfzs2ar9rdw9daedvs5pzfpc5tttrr9d0rps" timestamp="1758536678"&gt;338&lt;/key&gt;&lt;/foreign-keys&gt;&lt;ref-type name="Journal Article"&gt;17&lt;/ref-type&gt;&lt;contributors&gt;&lt;authors&gt;&lt;author&gt;McMaster, G.&lt;/author&gt;&lt;/authors&gt;&lt;/contributors&gt;&lt;titles&gt;&lt;title&gt;Growing degree-days: one equation, two interpretations&lt;/title&gt;&lt;secondary-title&gt;Agricultural and Forest Meteorology&lt;/secondary-title&gt;&lt;/titles&gt;&lt;periodical&gt;&lt;full-title&gt;Agricultural and Forest Meteorology&lt;/full-title&gt;&lt;/periodical&gt;&lt;pages&gt;291-300&lt;/pages&gt;&lt;volume&gt;87&lt;/volume&gt;&lt;number&gt;4&lt;/number&gt;&lt;dates&gt;&lt;year&gt;1997&lt;/year&gt;&lt;/dates&gt;&lt;publisher&gt;Elsevier BV&lt;/publisher&gt;&lt;isbn&gt;0168-1923&lt;/isbn&gt;&lt;urls&gt;&lt;related-urls&gt;&lt;url&gt;https://dx.doi.org/10.1016/S0168-1923(97)00027-0&lt;/url&gt;&lt;/related-urls&gt;&lt;/urls&gt;&lt;electronic-resource-num&gt;10.1016/s0168-1923(97)00027-0&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(McMaster, 1997)</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w:t>
      </w:r>
    </w:p>
    <w:p w14:paraId="3F317362" w14:textId="77777777" w:rsidR="00EF5EE1" w:rsidRPr="004D4F2F" w:rsidRDefault="00EF5EE1" w:rsidP="00EF5EE1">
      <w:pPr>
        <w:spacing w:after="0" w:line="276" w:lineRule="auto"/>
        <w:rPr>
          <w:rFonts w:ascii="Arial" w:eastAsia="Times New Roman" w:hAnsi="Arial" w:cs="Arial"/>
          <w:i/>
          <w:iCs/>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 xml:space="preserve">Multivariate analyses: </w:t>
      </w:r>
    </w:p>
    <w:p w14:paraId="67244E31"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i/>
          <w:iCs/>
          <w:color w:val="000000"/>
          <w:kern w:val="0"/>
          <w:sz w:val="24"/>
          <w:szCs w:val="24"/>
          <w:lang w:eastAsia="en-GB"/>
          <w14:ligatures w14:val="none"/>
        </w:rPr>
        <w:tab/>
      </w:r>
      <w:r w:rsidRPr="004D4F2F">
        <w:rPr>
          <w:rFonts w:ascii="Arial" w:eastAsia="Times New Roman" w:hAnsi="Arial" w:cs="Arial"/>
          <w:color w:val="000000"/>
          <w:kern w:val="0"/>
          <w:sz w:val="24"/>
          <w:szCs w:val="24"/>
          <w:lang w:eastAsia="en-GB"/>
          <w14:ligatures w14:val="none"/>
        </w:rPr>
        <w:t xml:space="preserve">To investigate the existence of local adaptations or distinct ecotypes, we took three multivariate approaches. First, both continuous and categorical variables were included in Factorial Analyses of Mixed Data (FAMD). This method is analogous to Principal Component Analyses (PCA) with the exception that it can accommodate categorical data. Bud burst time-series data were included by “collapsing” these data into a single data point for each plant by calculating the number of days (Julian calendar) until the plant reached bud burst stage 3 (full bud flush). Munsell Colours were not included in these analyses, and only one year of bud burst (2025) data were included to minimize multicollinearity. All data were centred and scaled, missing data points (~6% of all data) were imputed, and then a FAMD was applied and visualized using the “PCAmix” package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&lt;EndNote&gt;&lt;Cite&gt;&lt;Author&gt;Chavent&lt;/Author&gt;&lt;Year&gt;2017&lt;/Year&gt;&lt;RecNum&gt;339&lt;/RecNum&gt;&lt;DisplayText&gt;(Chavent et al., 2017)&lt;/DisplayText&gt;&lt;record&gt;&lt;rec-number&gt;339&lt;/rec-number&gt;&lt;foreign-keys&gt;&lt;key app="EN" db-id="pfzs2ar9rdw9daedvs5pzfpc5tttrr9d0rps" timestamp="1758536849"&gt;339&lt;/key&gt;&lt;/foreign-keys&gt;&lt;ref-type name="Computer Program"&gt;9&lt;/ref-type&gt;&lt;contributors&gt;&lt;authors&gt;&lt;author&gt;Chavent, M.&lt;/author&gt;&lt;author&gt;Kuentz, V.&lt;/author&gt;&lt;author&gt;Labenne, A.&lt;/author&gt;&lt;author&gt;Liquet, B.&lt;/author&gt;&lt;author&gt;Saracco, J.&lt;/author&gt;&lt;/authors&gt;&lt;/contributors&gt;&lt;titles&gt;&lt;title&gt;PCAmixdata: Multivariate Analysis of Mixed Data&lt;/title&gt;&lt;/titles&gt;&lt;dates&gt;&lt;year&gt;2017&lt;/year&gt;&lt;/dates&gt;&lt;urls&gt;&lt;related-urls&gt;&lt;url&gt;https://CRAN.R-project.org/package=PCAmixdata&lt;/url&gt;&lt;/related-urls&gt;&lt;/urls&gt;&lt;custom1&gt;3.1&lt;/custom1&gt;&lt;electronic-resource-num&gt;10.32614/CRAN.package.PCAmixdata&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(Chavent et al., 2017)</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To test whether populations differed in this multivariate space PERMANOVA and population-pairwise PERMANOVA analyses were applied to the FAMD scores.</w:t>
      </w:r>
    </w:p>
    <w:p w14:paraId="76D89499"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Next, unsupervised K-means clustering was applied to the same scaled and transformed trait data that were used for the FAMD. K values between 1 and 20 were tested with 50 initial burn-ins and 10,000 maximum iterations using the “stats” package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&lt;EndNote&gt;&lt;Cite&gt;&lt;Author&gt;R Core Team&lt;/Author&gt;&lt;Year&gt;2021&lt;/Year&gt;&lt;RecNum&gt;9&lt;/RecNum&gt;&lt;DisplayText&gt;(R Core Team, 2021)&lt;/DisplayText&gt;&lt;record&gt;&lt;rec-number&gt;9&lt;/rec-number&gt;&lt;foreign-keys&gt;&lt;key app="EN" db-id="pfzs2ar9rdw9daedvs5pzfpc5tttrr9d0rps" timestamp="1701354438"&gt;9&lt;/key&gt;&lt;/foreign-keys&gt;&lt;ref-type name="Computer Program"&gt;9&lt;/ref-type&gt;&lt;contributors&gt;&lt;authors&gt;&lt;author&gt;R Core Team,&lt;/author&gt;&lt;/authors&gt;&lt;/contributors&gt;&lt;titles&gt;&lt;title&gt;R: A language and environment for statistical computing&lt;/title&gt;&lt;/titles&gt;&lt;edition&gt;4.4.0&lt;/edition&gt;&lt;dates&gt;&lt;year&gt;2021&lt;/year&gt;&lt;/dates&gt;&lt;pub-location&gt;R Foundation for Statistical Computing, Vienna, Austria&lt;/pub-location&gt;&lt;urls&gt;&lt;related-urls&gt;&lt;url&gt;https://www.R-project.org/&lt;/url&gt;&lt;/related-urls&gt;&lt;/urls&gt;&lt;/record&gt;&lt;/Cite&gt;&lt;/EndNote&gt;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(R Core Team, 2021)</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The optimal K value was determined by plotting the within-group sum of squares values for each value of K and choosing the value after which the sum of squares did not appreciably change (“elbow method”). Individuals were then assigned to one of the K putative ecotypes, and a PERMANOVA was used to test whether ecotypes differed significantly in multivariate space. The traits for each ecotype were also averaged and used to profile different ecotypes. Furthermore, a contingency table by population of the number of individuals in each of the K groups was produced, and differences in ecotype frequency among populations were evaluated with multinomial models using the “nnet” package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&lt;EndNote&gt;&lt;Cite&gt;&lt;Author&gt;Venables&lt;/Author&gt;&lt;Year&gt;2002&lt;/Year&gt;&lt;RecNum&gt;340&lt;/RecNum&gt;&lt;DisplayText&gt;(Venables &amp;amp; Ripley, 2002)&lt;/DisplayText&gt;&lt;record&gt;&lt;rec-number&gt;340&lt;/rec-number&gt;&lt;foreign-keys&gt;&lt;key app="EN" db-id="pfzs2ar9rdw9daedvs5pzfpc5tttrr9d0rps" timestamp="1758537480"&gt;340&lt;/key&gt;&lt;/foreign-keys&gt;&lt;ref-type name="Book"&gt;6&lt;/ref-type&gt;&lt;contributors&gt;&lt;authors&gt;&lt;author&gt;Venables, W. N.&lt;/author&gt;&lt;author&gt;Ripley, B. D.&lt;/author&gt;&lt;/authors&gt;&lt;/contributors&gt;&lt;titles&gt;&lt;title&gt;Modern Applied Statistics with S&lt;/title&gt;&lt;/titles&gt;&lt;dates&gt;&lt;year&gt;2002&lt;/year&gt;&lt;/dates&gt;&lt;pub-location&gt;New York&lt;/pub-location&gt;&lt;publisher&gt;Springer&lt;/publisher&gt;&lt;isbn&gt;0-387-95457-0&lt;/isbn&gt;&lt;urls&gt;&lt;related-urls&gt;&lt;url&gt;https://www.stats.ox.ac.uk/pub/MASS4/&lt;/url&gt;&lt;/related-urls&gt;&lt;/urls&gt;&lt;/record&gt;&lt;/Cite&gt;&lt;/EndNote&gt;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(Venables &amp; Ripley, 2002)</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w:t>
      </w:r>
    </w:p>
    <w:p w14:paraId="6DC9B9E0"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lastRenderedPageBreak/>
        <w:tab/>
        <w:t xml:space="preserve">To test for the effects of climate conditions at the site of origin on ecotypes an unconstrained approach was taken using Redundancy Analyses (RDA) using the “vegan” package </w:t>
      </w:r>
      <w:r w:rsidRPr="004D4F2F">
        <w:rPr>
          <w:rFonts w:ascii="Arial" w:eastAsia="Times New Roman" w:hAnsi="Arial" w:cs="Arial"/>
          <w:color w:val="000000"/>
          <w:kern w:val="0"/>
          <w:sz w:val="24"/>
          <w:szCs w:val="24"/>
          <w:lang w:eastAsia="en-GB"/>
          <w14:ligatures w14:val="none"/>
        </w:rPr>
        <w:fldChar w:fldCharType="begin"/>
      </w:r>
      <w:r w:rsidRPr="004D4F2F">
        <w:rPr>
          <w:rFonts w:ascii="Arial" w:eastAsia="Times New Roman" w:hAnsi="Arial" w:cs="Arial"/>
          <w:color w:val="000000"/>
          <w:kern w:val="0"/>
          <w:sz w:val="24"/>
          <w:szCs w:val="24"/>
          <w:lang w:eastAsia="en-GB"/>
          <w14:ligatures w14:val="none"/>
        </w:rPr>
        <w:instrText xml:space="preserve"> ADDIN EN.CITE &lt;EndNote&gt;&lt;Cite&gt;&lt;Author&gt;Oksanen&lt;/Author&gt;&lt;Year&gt;2025&lt;/Year&gt;&lt;RecNum&gt;335&lt;/RecNum&gt;&lt;DisplayText&gt;(Oksanen et al., 2025)&lt;/DisplayText&gt;&lt;record&gt;&lt;rec-number&gt;335&lt;/rec-number&gt;&lt;foreign-keys&gt;&lt;key app="EN" db-id="pfzs2ar9rdw9daedvs5pzfpc5tttrr9d0rps" timestamp="1758536245"&gt;335&lt;/key&gt;&lt;/foreign-keys&gt;&lt;ref-type name="Computer Program"&gt;9&lt;/ref-type&gt;&lt;contributors&gt;&lt;authors&gt;&lt;author&gt;Oksanen, Jari&lt;/author&gt;&lt;author&gt;Simpson, Gavin&lt;/author&gt;&lt;author&gt;Blanchet, F. Guillaume&lt;/author&gt;&lt;author&gt;Kindt, Roeland&lt;/author&gt;&lt;author&gt;Legendre, Pierre&lt;/author&gt;&lt;author&gt;Minchin, Peter R.&lt;/author&gt;&lt;author&gt;O&amp;apos;Hara, R. B.&lt;/author&gt;&lt;author&gt;Solymos, Peter&lt;/author&gt;&lt;author&gt;Stevens, M. Henry H.&lt;/author&gt;&lt;author&gt;Szoecs, Eduard&lt;/author&gt;&lt;author&gt;Wagner, Helene&lt;/author&gt;&lt;author&gt;Barbour, Michael&lt;/author&gt;&lt;author&gt;Bedward, Michael&lt;/author&gt;&lt;author&gt;Bolker, Ben&lt;/author&gt;&lt;author&gt;Borcard, Daniel&lt;/author&gt;&lt;author&gt;Borman, T.&lt;/author&gt;&lt;author&gt;Carvalho, G.&lt;/author&gt;&lt;author&gt;Chirico, M.&lt;/author&gt;&lt;author&gt;De Caceres, Miquel&lt;/author&gt;&lt;author&gt;Durand, S.&lt;/author&gt;&lt;author&gt;Evangelista, H. B.&lt;/author&gt;&lt;author&gt;FitzJohn, R.&lt;/author&gt;&lt;author&gt;Friendly, Michael&lt;/author&gt;&lt;author&gt;Furneaux, B.&lt;/author&gt;&lt;author&gt;Hannigan, G.&lt;/author&gt;&lt;author&gt;Hill, M. O.&lt;/author&gt;&lt;author&gt;Lahti, L.&lt;/author&gt;&lt;author&gt;Martino, C.&lt;/author&gt;&lt;author&gt;McGlinn, D.&lt;/author&gt;&lt;author&gt;Ouellette, M. E.&lt;/author&gt;&lt;author&gt;Ribeiro Cunha, E.&lt;/author&gt;&lt;author&gt;Smith, T.&lt;/author&gt;&lt;author&gt;Stier, A.&lt;/author&gt;&lt;author&gt;Ter Braak, Cajo J. F.&lt;/author&gt;&lt;author&gt;Weedon, J.&lt;/author&gt;&lt;/authors&gt;&lt;/contributors&gt;&lt;titles&gt;&lt;title&gt;vegan: Community Ecology Package&lt;/title&gt;&lt;/titles&gt;&lt;dates&gt;&lt;year&gt;2025&lt;/year&gt;&lt;/dates&gt;&lt;urls&gt;&lt;related-urls&gt;&lt;url&gt;https://CRAN.R-project.org/package=vegan&lt;/url&gt;&lt;/related-urls&gt;&lt;/urls&gt;&lt;custom1&gt;2.7-1&lt;/custom1&gt;&lt;electronic-resource-num&gt;10.32614/CRAN.package.vegan&lt;/electronic-resource-num&gt;&lt;/record&gt;&lt;/Cite&gt;&lt;/EndNote&gt;</w:instrText>
      </w:r>
      <w:r w:rsidRPr="004D4F2F">
        <w:rPr>
          <w:rFonts w:ascii="Arial" w:eastAsia="Times New Roman" w:hAnsi="Arial" w:cs="Arial"/>
          <w:color w:val="000000"/>
          <w:kern w:val="0"/>
          <w:sz w:val="24"/>
          <w:szCs w:val="24"/>
          <w:lang w:eastAsia="en-GB"/>
          <w14:ligatures w14:val="none"/>
        </w:rPr>
        <w:fldChar w:fldCharType="separate"/>
      </w:r>
      <w:r w:rsidRPr="004D4F2F">
        <w:rPr>
          <w:rFonts w:ascii="Arial" w:eastAsia="Times New Roman" w:hAnsi="Arial" w:cs="Arial"/>
          <w:noProof/>
          <w:color w:val="000000"/>
          <w:kern w:val="0"/>
          <w:sz w:val="24"/>
          <w:szCs w:val="24"/>
          <w:lang w:eastAsia="en-GB"/>
          <w14:ligatures w14:val="none"/>
        </w:rPr>
        <w:t>(Oksanen et al., 2025)</w:t>
      </w:r>
      <w:r w:rsidRPr="004D4F2F">
        <w:rPr>
          <w:rFonts w:ascii="Arial" w:eastAsia="Times New Roman" w:hAnsi="Arial" w:cs="Arial"/>
          <w:color w:val="000000"/>
          <w:kern w:val="0"/>
          <w:sz w:val="24"/>
          <w:szCs w:val="24"/>
          <w:lang w:eastAsia="en-GB"/>
          <w14:ligatures w14:val="none"/>
        </w:rPr>
        <w:fldChar w:fldCharType="end"/>
      </w:r>
      <w:r w:rsidRPr="004D4F2F">
        <w:rPr>
          <w:rFonts w:ascii="Arial" w:eastAsia="Times New Roman" w:hAnsi="Arial" w:cs="Arial"/>
          <w:color w:val="000000"/>
          <w:kern w:val="0"/>
          <w:sz w:val="24"/>
          <w:szCs w:val="24"/>
          <w:lang w:eastAsia="en-GB"/>
          <w14:ligatures w14:val="none"/>
        </w:rPr>
        <w:t xml:space="preserve">. First, any individuals without valid data for all traits were dropped due to methodological constraints. Then, population means for each trait were calculated, scaled and used as the response variable, and the climate variables were used as the predictor variables. These models were evaluated with ANOVAs and pairwise ANOVAs to determine whether climate overall, and which climate predictors specifically, accounted for the observed variation in the multivariate trait data. </w:t>
      </w:r>
    </w:p>
    <w:p w14:paraId="6EECAFCC" w14:textId="77777777" w:rsidR="00EF5EE1" w:rsidRPr="004D4F2F" w:rsidRDefault="00EF5EE1" w:rsidP="00EF5EE1">
      <w:pPr>
        <w:spacing w:line="276" w:lineRule="auto"/>
        <w:rPr>
          <w:rFonts w:ascii="Arial" w:eastAsia="Times New Roman" w:hAnsi="Arial" w:cs="Arial"/>
          <w:color w:val="000000"/>
          <w:kern w:val="0"/>
          <w:sz w:val="24"/>
          <w:szCs w:val="24"/>
          <w:lang w:eastAsia="en-GB"/>
          <w14:ligatures w14:val="none"/>
        </w:rPr>
      </w:pPr>
      <w:r w:rsidRPr="004D4F2F">
        <w:rPr>
          <w:rFonts w:ascii="Arial" w:eastAsia="Times New Roman" w:hAnsi="Arial" w:cs="Arial"/>
          <w:color w:val="000000"/>
          <w:kern w:val="0"/>
          <w:sz w:val="24"/>
          <w:szCs w:val="24"/>
          <w:lang w:eastAsia="en-GB"/>
          <w14:ligatures w14:val="none"/>
        </w:rPr>
        <w:tab/>
        <w:t xml:space="preserve">Finally, we evaluated whether the degree of variation in each of the observed traits was correlated with an index of climate severity, to test whether climate conditions at the site of origin impose stabilizing selection. These analyses were done by calculating the standard deviations of each trait, then comparing these to climate variables using Pearson’s correlations. Climate severity was calculated by first scaling and centring the number of frost months and CMI, and subtracting the latter from the former. Therefore, higher severity scores represent colder and/or drier conditions. </w:t>
      </w:r>
    </w:p>
    <w:p w14:paraId="7ECF886B" w14:textId="77777777" w:rsidR="006823A1" w:rsidRDefault="006823A1" w:rsidP="00050E2E">
      <w:pPr>
        <w:rPr>
          <w:rFonts w:ascii="Times New Roman" w:hAnsi="Times New Roman" w:cs="Times New Roman"/>
          <w:sz w:val="24"/>
          <w:szCs w:val="24"/>
        </w:rPr>
      </w:pPr>
    </w:p>
    <w:p w14:paraId="00D93F48" w14:textId="77777777" w:rsidR="006823A1" w:rsidRDefault="006823A1" w:rsidP="00050E2E">
      <w:pPr>
        <w:rPr>
          <w:rFonts w:ascii="Times New Roman" w:hAnsi="Times New Roman" w:cs="Times New Roman"/>
          <w:sz w:val="24"/>
          <w:szCs w:val="24"/>
        </w:rPr>
      </w:pPr>
    </w:p>
    <w:p w14:paraId="7E22FA97" w14:textId="77777777" w:rsidR="006823A1" w:rsidRDefault="006823A1" w:rsidP="00050E2E">
      <w:pPr>
        <w:rPr>
          <w:rFonts w:ascii="Times New Roman" w:hAnsi="Times New Roman" w:cs="Times New Roman"/>
          <w:sz w:val="24"/>
          <w:szCs w:val="24"/>
        </w:rPr>
      </w:pPr>
    </w:p>
    <w:p w14:paraId="4AB8F974" w14:textId="295D5F6F" w:rsidR="00050E2E" w:rsidRPr="00D72CA6" w:rsidRDefault="00050E2E" w:rsidP="00050E2E">
      <w:pPr>
        <w:rPr>
          <w:rFonts w:ascii="Times New Roman" w:hAnsi="Times New Roman" w:cs="Times New Roman"/>
          <w:sz w:val="24"/>
          <w:szCs w:val="24"/>
        </w:rPr>
      </w:pPr>
      <w:r w:rsidRPr="00D72CA6">
        <w:rPr>
          <w:rFonts w:ascii="Times New Roman" w:hAnsi="Times New Roman" w:cs="Times New Roman"/>
          <w:sz w:val="24"/>
          <w:szCs w:val="24"/>
        </w:rPr>
        <w:t xml:space="preserve">Please note that the methods section is taken liberally from the primary author’s PhD Thesis, which is unpublished as of submission of this EIDC deposit, and is cited here for the entirety of this Metadata: </w:t>
      </w:r>
    </w:p>
    <w:p w14:paraId="3546AA16" w14:textId="77777777" w:rsidR="00050E2E" w:rsidRPr="00D72CA6" w:rsidRDefault="00050E2E" w:rsidP="00050E2E">
      <w:pPr>
        <w:rPr>
          <w:rFonts w:ascii="Times New Roman" w:hAnsi="Times New Roman" w:cs="Times New Roman"/>
          <w:sz w:val="24"/>
          <w:szCs w:val="24"/>
        </w:rPr>
      </w:pPr>
      <w:r w:rsidRPr="00D72CA6">
        <w:rPr>
          <w:rFonts w:ascii="Times New Roman" w:hAnsi="Times New Roman" w:cs="Times New Roman"/>
          <w:sz w:val="24"/>
          <w:szCs w:val="24"/>
        </w:rPr>
        <w:t xml:space="preserve">Baker, J. (2026). </w:t>
      </w:r>
      <w:r w:rsidRPr="00D72CA6">
        <w:rPr>
          <w:rFonts w:ascii="Times New Roman" w:hAnsi="Times New Roman" w:cs="Times New Roman"/>
          <w:i/>
          <w:iCs/>
          <w:sz w:val="24"/>
          <w:szCs w:val="24"/>
        </w:rPr>
        <w:t xml:space="preserve">The dynamic conservation of the common juniper, Juniperus communis </w:t>
      </w:r>
      <w:r w:rsidRPr="00D72CA6">
        <w:rPr>
          <w:rFonts w:ascii="Times New Roman" w:hAnsi="Times New Roman" w:cs="Times New Roman"/>
          <w:sz w:val="24"/>
          <w:szCs w:val="24"/>
        </w:rPr>
        <w:t xml:space="preserve">(Doctoral thesis, University of Edinburgh). </w:t>
      </w:r>
    </w:p>
    <w:p w14:paraId="760C128E" w14:textId="77777777" w:rsidR="00AB38F8" w:rsidRDefault="00AB38F8">
      <w:pPr>
        <w:rPr>
          <w:rFonts w:ascii="Times New Roman" w:hAnsi="Times New Roman" w:cs="Times New Roman"/>
          <w:sz w:val="24"/>
          <w:szCs w:val="24"/>
        </w:rPr>
      </w:pPr>
      <w:r>
        <w:rPr>
          <w:rFonts w:ascii="Times New Roman" w:hAnsi="Times New Roman" w:cs="Times New Roman"/>
          <w:sz w:val="24"/>
          <w:szCs w:val="24"/>
        </w:rPr>
        <w:br w:type="page"/>
      </w:r>
    </w:p>
    <w:p w14:paraId="01084C86" w14:textId="4C8F5FD3" w:rsidR="00AB38F8" w:rsidRPr="00D72CA6" w:rsidRDefault="00C446D8">
      <w:pPr>
        <w:rPr>
          <w:rFonts w:ascii="Times New Roman" w:hAnsi="Times New Roman" w:cs="Times New Roman"/>
          <w:sz w:val="24"/>
          <w:szCs w:val="24"/>
        </w:rPr>
      </w:pPr>
      <w:r>
        <w:rPr>
          <w:rFonts w:ascii="Times New Roman" w:hAnsi="Times New Roman" w:cs="Times New Roman"/>
          <w:sz w:val="24"/>
          <w:szCs w:val="24"/>
        </w:rPr>
        <w:lastRenderedPageBreak/>
        <w:t>Refere</w:t>
      </w:r>
      <w:r w:rsidR="002515F8">
        <w:rPr>
          <w:rFonts w:ascii="Times New Roman" w:hAnsi="Times New Roman" w:cs="Times New Roman"/>
          <w:sz w:val="24"/>
          <w:szCs w:val="24"/>
        </w:rPr>
        <w:t>n</w:t>
      </w:r>
      <w:r>
        <w:rPr>
          <w:rFonts w:ascii="Times New Roman" w:hAnsi="Times New Roman" w:cs="Times New Roman"/>
          <w:sz w:val="24"/>
          <w:szCs w:val="24"/>
        </w:rPr>
        <w:t>ces</w:t>
      </w:r>
      <w:r w:rsidR="00AB38F8">
        <w:rPr>
          <w:rFonts w:ascii="Times New Roman" w:hAnsi="Times New Roman" w:cs="Times New Roman"/>
          <w:sz w:val="24"/>
          <w:szCs w:val="24"/>
        </w:rPr>
        <w:t>:</w:t>
      </w:r>
    </w:p>
    <w:p w14:paraId="6687AC4C" w14:textId="43B947A3" w:rsidR="00EF5EE1" w:rsidRPr="00EF5EE1" w:rsidRDefault="008C2BB9" w:rsidP="00EF5EE1">
      <w:pPr>
        <w:pStyle w:val="EndNoteBibliography"/>
        <w:spacing w:after="0"/>
        <w:ind w:hanging="720"/>
      </w:pPr>
      <w:r w:rsidRPr="00D72CA6">
        <w:rPr>
          <w:rFonts w:ascii="Times New Roman" w:hAnsi="Times New Roman" w:cs="Times New Roman"/>
          <w:sz w:val="24"/>
          <w:szCs w:val="24"/>
        </w:rPr>
        <w:fldChar w:fldCharType="begin"/>
      </w:r>
      <w:r w:rsidRPr="00D72CA6">
        <w:rPr>
          <w:rFonts w:ascii="Times New Roman" w:hAnsi="Times New Roman" w:cs="Times New Roman"/>
          <w:sz w:val="24"/>
          <w:szCs w:val="24"/>
        </w:rPr>
        <w:instrText xml:space="preserve"> ADDIN EN.REFLIST </w:instrText>
      </w:r>
      <w:r w:rsidRPr="00D72CA6">
        <w:rPr>
          <w:rFonts w:ascii="Times New Roman" w:hAnsi="Times New Roman" w:cs="Times New Roman"/>
          <w:sz w:val="24"/>
          <w:szCs w:val="24"/>
        </w:rPr>
        <w:fldChar w:fldCharType="separate"/>
      </w:r>
      <w:r w:rsidR="00EF5EE1" w:rsidRPr="00EF5EE1">
        <w:t xml:space="preserve">Baker, J., Cottrell, J., Ennos, R., Perry, A., Green, S., &amp; Cavers, S. (2025). Local Genetic Adaptations Among Remnant Populations of British Common Juniper, &lt;scp&gt;Juniperus communis&lt;/scp&gt;, Indicated by a Common Garden Trial. </w:t>
      </w:r>
      <w:r w:rsidR="00EF5EE1" w:rsidRPr="00EF5EE1">
        <w:rPr>
          <w:i/>
        </w:rPr>
        <w:t>Ecology and Evolution</w:t>
      </w:r>
      <w:r w:rsidR="00EF5EE1" w:rsidRPr="00EF5EE1">
        <w:t>,</w:t>
      </w:r>
      <w:r w:rsidR="00EF5EE1" w:rsidRPr="00EF5EE1">
        <w:rPr>
          <w:i/>
        </w:rPr>
        <w:t xml:space="preserve"> 15</w:t>
      </w:r>
      <w:r w:rsidR="00EF5EE1" w:rsidRPr="00EF5EE1">
        <w:t xml:space="preserve">(3). </w:t>
      </w:r>
      <w:hyperlink r:id="rId15" w:history="1">
        <w:r w:rsidR="00EF5EE1" w:rsidRPr="00EF5EE1">
          <w:rPr>
            <w:rStyle w:val="Hyperlink"/>
          </w:rPr>
          <w:t>https://doi.org/10.1002/ece3.71049</w:t>
        </w:r>
      </w:hyperlink>
      <w:r w:rsidR="00EF5EE1" w:rsidRPr="00EF5EE1">
        <w:t xml:space="preserve"> </w:t>
      </w:r>
    </w:p>
    <w:p w14:paraId="0129E564" w14:textId="424AB845" w:rsidR="00EF5EE1" w:rsidRPr="00EF5EE1" w:rsidRDefault="00EF5EE1" w:rsidP="00EF5EE1">
      <w:pPr>
        <w:pStyle w:val="EndNoteBibliography"/>
        <w:spacing w:after="0"/>
        <w:ind w:hanging="720"/>
      </w:pPr>
      <w:r w:rsidRPr="00EF5EE1">
        <w:t xml:space="preserve">Baker, J., Perry, A., Cottrell, J., Ennos, R., Green, S., James, E., &amp; Cavers, S. (2024). </w:t>
      </w:r>
      <w:r w:rsidRPr="00EF5EE1">
        <w:rPr>
          <w:i/>
        </w:rPr>
        <w:t>Germination rates, seed and berry data of juniper trees from UK populations under a warm-cool stratification glasshouse experiment</w:t>
      </w:r>
      <w:r w:rsidRPr="00EF5EE1">
        <w:t xml:space="preserve"> (NERC EDS Environmental Information Data Centre. </w:t>
      </w:r>
      <w:hyperlink r:id="rId16" w:history="1">
        <w:r w:rsidRPr="00EF5EE1">
          <w:rPr>
            <w:rStyle w:val="Hyperlink"/>
          </w:rPr>
          <w:t>https://doi.org/10.5285/f61dcdcc-b838-4bfa-8d94-7820114a68c8</w:t>
        </w:r>
      </w:hyperlink>
      <w:r w:rsidRPr="00EF5EE1">
        <w:t xml:space="preserve"> </w:t>
      </w:r>
    </w:p>
    <w:p w14:paraId="3A32A0FF" w14:textId="1AE60382" w:rsidR="00EF5EE1" w:rsidRPr="00EF5EE1" w:rsidRDefault="00EF5EE1" w:rsidP="00EF5EE1">
      <w:pPr>
        <w:pStyle w:val="EndNoteBibliography"/>
        <w:spacing w:after="0"/>
        <w:ind w:hanging="720"/>
      </w:pPr>
      <w:r w:rsidRPr="00EF5EE1">
        <w:t xml:space="preserve">Bates, D., Mächler, M., Bolker, B., &amp; Walker, S. (2015). Fitting Linear Mixed-Effects Models Using&lt;b&gt;lme4&lt;/b&gt;. </w:t>
      </w:r>
      <w:r w:rsidRPr="00EF5EE1">
        <w:rPr>
          <w:i/>
        </w:rPr>
        <w:t>Journal of Statistical Software</w:t>
      </w:r>
      <w:r w:rsidRPr="00EF5EE1">
        <w:t>,</w:t>
      </w:r>
      <w:r w:rsidRPr="00EF5EE1">
        <w:rPr>
          <w:i/>
        </w:rPr>
        <w:t xml:space="preserve"> 67</w:t>
      </w:r>
      <w:r w:rsidRPr="00EF5EE1">
        <w:t xml:space="preserve">(1). </w:t>
      </w:r>
      <w:hyperlink r:id="rId17" w:history="1">
        <w:r w:rsidRPr="00EF5EE1">
          <w:rPr>
            <w:rStyle w:val="Hyperlink"/>
          </w:rPr>
          <w:t>https://doi.org/10.18637/jss.v067.i01</w:t>
        </w:r>
      </w:hyperlink>
      <w:r w:rsidRPr="00EF5EE1">
        <w:t xml:space="preserve"> </w:t>
      </w:r>
    </w:p>
    <w:p w14:paraId="42C513ED" w14:textId="77777777" w:rsidR="00EF5EE1" w:rsidRPr="00EF5EE1" w:rsidRDefault="00EF5EE1" w:rsidP="00EF5EE1">
      <w:pPr>
        <w:pStyle w:val="EndNoteBibliography"/>
        <w:spacing w:after="0"/>
        <w:ind w:hanging="720"/>
      </w:pPr>
      <w:r w:rsidRPr="00EF5EE1">
        <w:t xml:space="preserve">Brooks, M. E., Kristensen, K., Van Benthem, K. J., Magnusson, A., Berg, C. W., Nielsen, A., Skaug, H. J., Mächler, M., &amp; Bolker, B. M. (2017). glmmTMB balances speed and flexibility among packages for zero-inflated generalized linear mixed modeling. </w:t>
      </w:r>
    </w:p>
    <w:p w14:paraId="408D684C" w14:textId="5FAC752D" w:rsidR="00EF5EE1" w:rsidRPr="00EF5EE1" w:rsidRDefault="00EF5EE1" w:rsidP="00EF5EE1">
      <w:pPr>
        <w:pStyle w:val="EndNoteBibliography"/>
        <w:spacing w:after="0"/>
        <w:ind w:hanging="720"/>
      </w:pPr>
      <w:r w:rsidRPr="00EF5EE1">
        <w:t xml:space="preserve">Chavent, M., Kuentz, V., Labenne, A., Liquet, B., &amp; Saracco, J. (2017). </w:t>
      </w:r>
      <w:r w:rsidRPr="00EF5EE1">
        <w:rPr>
          <w:i/>
        </w:rPr>
        <w:t>PCAmixdata: Multivariate Analysis of Mixed Data</w:t>
      </w:r>
      <w:r w:rsidRPr="00EF5EE1">
        <w:t>.</w:t>
      </w:r>
      <w:r w:rsidRPr="00EF5EE1">
        <w:rPr>
          <w:i/>
        </w:rPr>
        <w:t xml:space="preserve"> </w:t>
      </w:r>
      <w:r w:rsidRPr="00EF5EE1">
        <w:t xml:space="preserve">In </w:t>
      </w:r>
      <w:hyperlink r:id="rId18" w:history="1">
        <w:r w:rsidRPr="00EF5EE1">
          <w:rPr>
            <w:rStyle w:val="Hyperlink"/>
          </w:rPr>
          <w:t>https://CRAN.R-project.org/package=PCAmixdata</w:t>
        </w:r>
      </w:hyperlink>
    </w:p>
    <w:p w14:paraId="50426895" w14:textId="1EE4BECB" w:rsidR="00EF5EE1" w:rsidRPr="00EF5EE1" w:rsidRDefault="00EF5EE1" w:rsidP="00EF5EE1">
      <w:pPr>
        <w:pStyle w:val="EndNoteBibliography"/>
        <w:spacing w:after="0"/>
        <w:ind w:hanging="720"/>
      </w:pPr>
      <w:r w:rsidRPr="00EF5EE1">
        <w:t xml:space="preserve">Christensen, R. H. B. (2023). </w:t>
      </w:r>
      <w:r w:rsidRPr="00EF5EE1">
        <w:rPr>
          <w:i/>
        </w:rPr>
        <w:t>ordinal: Regression Models for Ordinal Data</w:t>
      </w:r>
      <w:r w:rsidRPr="00EF5EE1">
        <w:t>.</w:t>
      </w:r>
      <w:r w:rsidRPr="00EF5EE1">
        <w:rPr>
          <w:i/>
        </w:rPr>
        <w:t xml:space="preserve"> </w:t>
      </w:r>
      <w:r w:rsidRPr="00EF5EE1">
        <w:t xml:space="preserve">In </w:t>
      </w:r>
      <w:hyperlink r:id="rId19" w:history="1">
        <w:r w:rsidRPr="00EF5EE1">
          <w:rPr>
            <w:rStyle w:val="Hyperlink"/>
          </w:rPr>
          <w:t>https://CRAN.R-project.org/package=ordinal</w:t>
        </w:r>
      </w:hyperlink>
    </w:p>
    <w:p w14:paraId="11139AAA" w14:textId="61868344" w:rsidR="00EF5EE1" w:rsidRPr="00EF5EE1" w:rsidRDefault="00EF5EE1" w:rsidP="00EF5EE1">
      <w:pPr>
        <w:pStyle w:val="EndNoteBibliography"/>
        <w:spacing w:after="0"/>
        <w:ind w:hanging="720"/>
      </w:pPr>
      <w:r w:rsidRPr="00EF5EE1">
        <w:t xml:space="preserve">Cochrane, S. (2014). The Munsell Color System: A scientific compromise from the world of art. </w:t>
      </w:r>
      <w:r w:rsidRPr="00EF5EE1">
        <w:rPr>
          <w:i/>
        </w:rPr>
        <w:t>Studies in History and Philosophy of Science Part A</w:t>
      </w:r>
      <w:r w:rsidRPr="00EF5EE1">
        <w:t>,</w:t>
      </w:r>
      <w:r w:rsidRPr="00EF5EE1">
        <w:rPr>
          <w:i/>
        </w:rPr>
        <w:t xml:space="preserve"> 47</w:t>
      </w:r>
      <w:r w:rsidRPr="00EF5EE1">
        <w:t xml:space="preserve">, 26-41. </w:t>
      </w:r>
      <w:hyperlink r:id="rId20" w:history="1">
        <w:r w:rsidRPr="00EF5EE1">
          <w:rPr>
            <w:rStyle w:val="Hyperlink"/>
          </w:rPr>
          <w:t>https://doi.org/https://doi.org/10.1016/j.shpsa.2014.03.004</w:t>
        </w:r>
      </w:hyperlink>
      <w:r w:rsidRPr="00EF5EE1">
        <w:t xml:space="preserve"> </w:t>
      </w:r>
    </w:p>
    <w:p w14:paraId="3DBEA841" w14:textId="6E5A3E07" w:rsidR="00EF5EE1" w:rsidRPr="00EF5EE1" w:rsidRDefault="00EF5EE1" w:rsidP="00EF5EE1">
      <w:pPr>
        <w:pStyle w:val="EndNoteBibliography"/>
        <w:spacing w:after="0"/>
        <w:ind w:hanging="720"/>
      </w:pPr>
      <w:r w:rsidRPr="00EF5EE1">
        <w:t xml:space="preserve">Karger, D. N., Conrad, O., Böhner, J., Kawohl, T., Kreft, H., Soria-Auza, R. W., Zimmermann, N. E., Linder, H. P., &amp; Kessler, M. (2017). Climatologies at high resolution for the earth’s land surface areas. </w:t>
      </w:r>
      <w:r w:rsidRPr="00EF5EE1">
        <w:rPr>
          <w:i/>
        </w:rPr>
        <w:t>Scientific data</w:t>
      </w:r>
      <w:r w:rsidRPr="00EF5EE1">
        <w:t>,</w:t>
      </w:r>
      <w:r w:rsidRPr="00EF5EE1">
        <w:rPr>
          <w:i/>
        </w:rPr>
        <w:t xml:space="preserve"> 4</w:t>
      </w:r>
      <w:r w:rsidRPr="00EF5EE1">
        <w:t xml:space="preserve">(1), 170122. </w:t>
      </w:r>
      <w:hyperlink r:id="rId21" w:history="1">
        <w:r w:rsidRPr="00EF5EE1">
          <w:rPr>
            <w:rStyle w:val="Hyperlink"/>
          </w:rPr>
          <w:t>https://doi.org/10.1038/sdata.2017.122</w:t>
        </w:r>
      </w:hyperlink>
      <w:r w:rsidRPr="00EF5EE1">
        <w:t xml:space="preserve"> </w:t>
      </w:r>
    </w:p>
    <w:p w14:paraId="629669E1" w14:textId="272B1081" w:rsidR="00EF5EE1" w:rsidRPr="00EF5EE1" w:rsidRDefault="00EF5EE1" w:rsidP="00EF5EE1">
      <w:pPr>
        <w:pStyle w:val="EndNoteBibliography"/>
        <w:spacing w:after="0"/>
        <w:ind w:hanging="720"/>
      </w:pPr>
      <w:r w:rsidRPr="00EF5EE1">
        <w:t xml:space="preserve">McMaster, G. (1997). Growing degree-days: one equation, two interpretations. </w:t>
      </w:r>
      <w:r w:rsidRPr="00EF5EE1">
        <w:rPr>
          <w:i/>
        </w:rPr>
        <w:t>Agricultural and Forest Meteorology</w:t>
      </w:r>
      <w:r w:rsidRPr="00EF5EE1">
        <w:t>,</w:t>
      </w:r>
      <w:r w:rsidRPr="00EF5EE1">
        <w:rPr>
          <w:i/>
        </w:rPr>
        <w:t xml:space="preserve"> 87</w:t>
      </w:r>
      <w:r w:rsidRPr="00EF5EE1">
        <w:t xml:space="preserve">(4), 291-300. </w:t>
      </w:r>
      <w:hyperlink r:id="rId22" w:history="1">
        <w:r w:rsidRPr="00EF5EE1">
          <w:rPr>
            <w:rStyle w:val="Hyperlink"/>
          </w:rPr>
          <w:t>https://doi.org/10.1016/s0168-1923(97)00027-0</w:t>
        </w:r>
      </w:hyperlink>
      <w:r w:rsidRPr="00EF5EE1">
        <w:t xml:space="preserve"> </w:t>
      </w:r>
    </w:p>
    <w:p w14:paraId="50EB494D" w14:textId="77777777" w:rsidR="00EF5EE1" w:rsidRPr="00EF5EE1" w:rsidRDefault="00EF5EE1" w:rsidP="00EF5EE1">
      <w:pPr>
        <w:pStyle w:val="EndNoteBibliography"/>
        <w:spacing w:after="0"/>
        <w:ind w:hanging="720"/>
      </w:pPr>
      <w:r w:rsidRPr="00EF5EE1">
        <w:rPr>
          <w:i/>
        </w:rPr>
        <w:t>Munsell Plant Tissue Color Book</w:t>
      </w:r>
      <w:r w:rsidRPr="00EF5EE1">
        <w:t xml:space="preserve">. (2012). </w:t>
      </w:r>
    </w:p>
    <w:p w14:paraId="45F0EA05" w14:textId="3C71ED59" w:rsidR="00EF5EE1" w:rsidRPr="00EF5EE1" w:rsidRDefault="00EF5EE1" w:rsidP="00EF5EE1">
      <w:pPr>
        <w:pStyle w:val="EndNoteBibliography"/>
        <w:spacing w:after="0"/>
        <w:ind w:hanging="720"/>
      </w:pPr>
      <w:r w:rsidRPr="00EF5EE1">
        <w:t xml:space="preserve">Murchie, E. H., &amp; Lawson, T. (2013). Chlorophyll fluorescence analysis: a guide to good practice and understanding some new applications. </w:t>
      </w:r>
      <w:r w:rsidRPr="00EF5EE1">
        <w:rPr>
          <w:i/>
        </w:rPr>
        <w:t>Journal of Experimental Botany</w:t>
      </w:r>
      <w:r w:rsidRPr="00EF5EE1">
        <w:t>,</w:t>
      </w:r>
      <w:r w:rsidRPr="00EF5EE1">
        <w:rPr>
          <w:i/>
        </w:rPr>
        <w:t xml:space="preserve"> 64</w:t>
      </w:r>
      <w:r w:rsidRPr="00EF5EE1">
        <w:t xml:space="preserve">(13), 3983-3998. </w:t>
      </w:r>
      <w:hyperlink r:id="rId23" w:history="1">
        <w:r w:rsidRPr="00EF5EE1">
          <w:rPr>
            <w:rStyle w:val="Hyperlink"/>
          </w:rPr>
          <w:t>https://doi.org/10.1093/jxb/ert208</w:t>
        </w:r>
      </w:hyperlink>
      <w:r w:rsidRPr="00EF5EE1">
        <w:t xml:space="preserve"> </w:t>
      </w:r>
    </w:p>
    <w:p w14:paraId="3BDC59C0" w14:textId="7F513646" w:rsidR="00EF5EE1" w:rsidRPr="00EF5EE1" w:rsidRDefault="00EF5EE1" w:rsidP="00EF5EE1">
      <w:pPr>
        <w:pStyle w:val="EndNoteBibliography"/>
        <w:spacing w:after="0"/>
        <w:ind w:hanging="720"/>
      </w:pPr>
      <w:r w:rsidRPr="00EF5EE1">
        <w:t xml:space="preserve">Oksanen, J., Simpson, G., Blanchet, F. G., Kindt, R., Legendre, P., Minchin, P. R., O'Hara, R. B., Solymos, P., Stevens, M. H. H., Szoecs, E., Wagner, H., Barbour, M., Bedward, M., Bolker, B., Borcard, D., Borman, T., Carvalho, G., Chirico, M., De Caceres, M.,…Weedon, J. (2025). </w:t>
      </w:r>
      <w:r w:rsidRPr="00EF5EE1">
        <w:rPr>
          <w:i/>
        </w:rPr>
        <w:t>vegan: Community Ecology Package</w:t>
      </w:r>
      <w:r w:rsidRPr="00EF5EE1">
        <w:t>.</w:t>
      </w:r>
      <w:r w:rsidRPr="00EF5EE1">
        <w:rPr>
          <w:i/>
        </w:rPr>
        <w:t xml:space="preserve"> </w:t>
      </w:r>
      <w:r w:rsidRPr="00EF5EE1">
        <w:t xml:space="preserve">In </w:t>
      </w:r>
      <w:hyperlink r:id="rId24" w:history="1">
        <w:r w:rsidRPr="00EF5EE1">
          <w:rPr>
            <w:rStyle w:val="Hyperlink"/>
          </w:rPr>
          <w:t>https://CRAN.R-project.org/package=vegan</w:t>
        </w:r>
      </w:hyperlink>
    </w:p>
    <w:p w14:paraId="38D2D637" w14:textId="6CAD1DB0" w:rsidR="00EF5EE1" w:rsidRPr="00EF5EE1" w:rsidRDefault="00EF5EE1" w:rsidP="00EF5EE1">
      <w:pPr>
        <w:pStyle w:val="EndNoteBibliography"/>
        <w:spacing w:after="0"/>
        <w:ind w:hanging="720"/>
      </w:pPr>
      <w:r w:rsidRPr="00EF5EE1">
        <w:t xml:space="preserve">R Core Team. (2021). </w:t>
      </w:r>
      <w:r w:rsidRPr="00EF5EE1">
        <w:rPr>
          <w:i/>
        </w:rPr>
        <w:t>R: A language and environment for statistical computing</w:t>
      </w:r>
      <w:r w:rsidRPr="00EF5EE1">
        <w:t>.</w:t>
      </w:r>
      <w:r w:rsidRPr="00EF5EE1">
        <w:rPr>
          <w:i/>
        </w:rPr>
        <w:t xml:space="preserve"> </w:t>
      </w:r>
      <w:r w:rsidRPr="00EF5EE1">
        <w:t xml:space="preserve">In (Version 4.4.0) </w:t>
      </w:r>
      <w:hyperlink r:id="rId25" w:history="1">
        <w:r w:rsidRPr="00EF5EE1">
          <w:rPr>
            <w:rStyle w:val="Hyperlink"/>
          </w:rPr>
          <w:t>https://www.R-project.org/</w:t>
        </w:r>
      </w:hyperlink>
    </w:p>
    <w:p w14:paraId="5551A192" w14:textId="73E2582E" w:rsidR="00EF5EE1" w:rsidRPr="00EF5EE1" w:rsidRDefault="00EF5EE1" w:rsidP="00EF5EE1">
      <w:pPr>
        <w:pStyle w:val="EndNoteBibliography"/>
        <w:spacing w:after="0"/>
        <w:ind w:hanging="720"/>
      </w:pPr>
      <w:r w:rsidRPr="00EF5EE1">
        <w:t xml:space="preserve">Thomas, P. A., El-Barghathi, M., &amp; Polwart, A. (2007). Biological Flora of the British Isles: Juniperus communis L. </w:t>
      </w:r>
      <w:r w:rsidRPr="00EF5EE1">
        <w:rPr>
          <w:i/>
        </w:rPr>
        <w:t>Journal of Ecology</w:t>
      </w:r>
      <w:r w:rsidRPr="00EF5EE1">
        <w:t>,</w:t>
      </w:r>
      <w:r w:rsidRPr="00EF5EE1">
        <w:rPr>
          <w:i/>
        </w:rPr>
        <w:t xml:space="preserve"> 95</w:t>
      </w:r>
      <w:r w:rsidRPr="00EF5EE1">
        <w:t xml:space="preserve">(6), 1404-1440. </w:t>
      </w:r>
      <w:hyperlink r:id="rId26" w:history="1">
        <w:r w:rsidRPr="00EF5EE1">
          <w:rPr>
            <w:rStyle w:val="Hyperlink"/>
          </w:rPr>
          <w:t>https://doi.org/10.1111/j.1365-2745.2007.01308.x</w:t>
        </w:r>
      </w:hyperlink>
      <w:r w:rsidRPr="00EF5EE1">
        <w:t xml:space="preserve"> </w:t>
      </w:r>
    </w:p>
    <w:p w14:paraId="6F522C69" w14:textId="5BDDE076" w:rsidR="00EF5EE1" w:rsidRPr="00EF5EE1" w:rsidRDefault="00EF5EE1" w:rsidP="00EF5EE1">
      <w:pPr>
        <w:pStyle w:val="EndNoteBibliography"/>
        <w:spacing w:after="0"/>
        <w:ind w:hanging="720"/>
      </w:pPr>
      <w:r w:rsidRPr="00EF5EE1">
        <w:t xml:space="preserve">Venables, W. N., &amp; Ripley, B. D. (2002). </w:t>
      </w:r>
      <w:r w:rsidRPr="00EF5EE1">
        <w:rPr>
          <w:i/>
        </w:rPr>
        <w:t>Modern Applied Statistics with S</w:t>
      </w:r>
      <w:r w:rsidRPr="00EF5EE1">
        <w:t xml:space="preserve">. Springer. </w:t>
      </w:r>
      <w:hyperlink r:id="rId27" w:history="1">
        <w:r w:rsidRPr="00EF5EE1">
          <w:rPr>
            <w:rStyle w:val="Hyperlink"/>
          </w:rPr>
          <w:t>https://www.stats.ox.ac.uk/pub/MASS4/</w:t>
        </w:r>
      </w:hyperlink>
      <w:r w:rsidRPr="00EF5EE1">
        <w:t xml:space="preserve"> </w:t>
      </w:r>
    </w:p>
    <w:p w14:paraId="1DB5489E" w14:textId="77777777" w:rsidR="00EF5EE1" w:rsidRPr="00EF5EE1" w:rsidRDefault="00EF5EE1" w:rsidP="00EF5EE1">
      <w:pPr>
        <w:pStyle w:val="EndNoteBibliography"/>
        <w:ind w:hanging="720"/>
      </w:pPr>
      <w:r w:rsidRPr="00EF5EE1">
        <w:t xml:space="preserve">Wood, S. N. (2017). </w:t>
      </w:r>
      <w:r w:rsidRPr="00EF5EE1">
        <w:rPr>
          <w:i/>
        </w:rPr>
        <w:t>Generalized additive models: an introduction with R</w:t>
      </w:r>
      <w:r w:rsidRPr="00EF5EE1">
        <w:t xml:space="preserve">. chapman and hall/CRC. </w:t>
      </w:r>
    </w:p>
    <w:p w14:paraId="4B059F2A" w14:textId="3E7EB367" w:rsidR="00416F03" w:rsidRPr="00D72CA6" w:rsidRDefault="008C2BB9">
      <w:pPr>
        <w:rPr>
          <w:rFonts w:ascii="Times New Roman" w:hAnsi="Times New Roman" w:cs="Times New Roman"/>
          <w:sz w:val="24"/>
          <w:szCs w:val="24"/>
        </w:rPr>
      </w:pPr>
      <w:r w:rsidRPr="00D72CA6">
        <w:rPr>
          <w:rFonts w:ascii="Times New Roman" w:hAnsi="Times New Roman" w:cs="Times New Roman"/>
          <w:sz w:val="24"/>
          <w:szCs w:val="24"/>
        </w:rPr>
        <w:fldChar w:fldCharType="end"/>
      </w:r>
    </w:p>
    <w:sectPr w:rsidR="00416F03" w:rsidRPr="00D72CA6" w:rsidSect="00050E2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9B1E9F" w14:textId="77777777" w:rsidR="002515F8" w:rsidRDefault="002515F8">
      <w:pPr>
        <w:spacing w:after="0" w:line="240" w:lineRule="auto"/>
      </w:pPr>
      <w:r>
        <w:separator/>
      </w:r>
    </w:p>
  </w:endnote>
  <w:endnote w:type="continuationSeparator" w:id="0">
    <w:p w14:paraId="723C7A95" w14:textId="77777777" w:rsidR="002515F8" w:rsidRDefault="002515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96712061"/>
      <w:docPartObj>
        <w:docPartGallery w:val="Page Numbers (Bottom of Page)"/>
        <w:docPartUnique/>
      </w:docPartObj>
    </w:sdtPr>
    <w:sdtEndPr>
      <w:rPr>
        <w:color w:val="7F7F7F" w:themeColor="background1" w:themeShade="7F"/>
        <w:spacing w:val="60"/>
      </w:rPr>
    </w:sdtEndPr>
    <w:sdtContent>
      <w:p w14:paraId="31C1DB79" w14:textId="77777777" w:rsidR="00EF5EE1" w:rsidRDefault="00EF5EE1">
        <w:pPr>
          <w:pStyle w:val="Footer"/>
          <w:pBdr>
            <w:top w:val="single" w:sz="4" w:space="1" w:color="D9D9D9" w:themeColor="background1" w:themeShade="D9"/>
          </w:pBdr>
          <w:jc w:val="right"/>
        </w:pPr>
        <w:r>
          <w:fldChar w:fldCharType="begin"/>
        </w:r>
        <w:r>
          <w:instrText>PAGE   \* MERGEFORMAT</w:instrText>
        </w:r>
        <w:r>
          <w:fldChar w:fldCharType="separate"/>
        </w:r>
        <w:r>
          <w:t>2</w:t>
        </w:r>
        <w:r>
          <w:fldChar w:fldCharType="end"/>
        </w:r>
        <w:r>
          <w:t xml:space="preserve"> | </w:t>
        </w:r>
        <w:r>
          <w:rPr>
            <w:color w:val="7F7F7F" w:themeColor="background1" w:themeShade="7F"/>
            <w:spacing w:val="60"/>
          </w:rPr>
          <w:t>Page</w:t>
        </w:r>
      </w:p>
    </w:sdtContent>
  </w:sdt>
  <w:p w14:paraId="750D895F" w14:textId="77777777" w:rsidR="00EF5EE1" w:rsidRDefault="00EF5E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897BE" w14:textId="77777777" w:rsidR="002515F8" w:rsidRDefault="002515F8">
      <w:pPr>
        <w:spacing w:after="0" w:line="240" w:lineRule="auto"/>
      </w:pPr>
      <w:r>
        <w:separator/>
      </w:r>
    </w:p>
  </w:footnote>
  <w:footnote w:type="continuationSeparator" w:id="0">
    <w:p w14:paraId="5E199528" w14:textId="77777777" w:rsidR="002515F8" w:rsidRDefault="002515F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1A1506"/>
    <w:multiLevelType w:val="hybridMultilevel"/>
    <w:tmpl w:val="86862626"/>
    <w:lvl w:ilvl="0" w:tplc="66D0ABAA">
      <w:start w:val="1"/>
      <w:numFmt w:val="bullet"/>
      <w:pStyle w:val="EndNoteBibliography"/>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7E0D18CD"/>
    <w:multiLevelType w:val="hybridMultilevel"/>
    <w:tmpl w:val="35521AF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9406341">
    <w:abstractNumId w:val="1"/>
  </w:num>
  <w:num w:numId="2" w16cid:durableId="18845157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0&lt;/Suspended&gt;&lt;/ENInstantFormat&gt;"/>
    <w:docVar w:name="EN.Layout" w:val="&lt;ENLayout&gt;&lt;Style&gt;APA 7th Copy&lt;/Style&gt;&lt;LeftDelim&gt;{&lt;/LeftDelim&gt;&lt;RightDelim&gt;}&lt;/RightDelim&gt;&lt;FontName&gt;Aptos&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643659"/>
    <w:rsid w:val="000028C3"/>
    <w:rsid w:val="00023F75"/>
    <w:rsid w:val="00050E2E"/>
    <w:rsid w:val="000659CB"/>
    <w:rsid w:val="000B26A4"/>
    <w:rsid w:val="000B7369"/>
    <w:rsid w:val="001067F9"/>
    <w:rsid w:val="0017150E"/>
    <w:rsid w:val="001F3554"/>
    <w:rsid w:val="002470EE"/>
    <w:rsid w:val="002515F8"/>
    <w:rsid w:val="00257852"/>
    <w:rsid w:val="002854ED"/>
    <w:rsid w:val="00296942"/>
    <w:rsid w:val="002C67F4"/>
    <w:rsid w:val="00351973"/>
    <w:rsid w:val="003762BA"/>
    <w:rsid w:val="003B258E"/>
    <w:rsid w:val="003D57EB"/>
    <w:rsid w:val="004077B0"/>
    <w:rsid w:val="00416F03"/>
    <w:rsid w:val="004509AC"/>
    <w:rsid w:val="00453639"/>
    <w:rsid w:val="0045535D"/>
    <w:rsid w:val="00482590"/>
    <w:rsid w:val="004D481D"/>
    <w:rsid w:val="004D62CD"/>
    <w:rsid w:val="004E6EE4"/>
    <w:rsid w:val="004F690D"/>
    <w:rsid w:val="00544DAE"/>
    <w:rsid w:val="00561544"/>
    <w:rsid w:val="005E239F"/>
    <w:rsid w:val="00643659"/>
    <w:rsid w:val="006823A1"/>
    <w:rsid w:val="006D0C6C"/>
    <w:rsid w:val="00703CCD"/>
    <w:rsid w:val="007323F9"/>
    <w:rsid w:val="00794434"/>
    <w:rsid w:val="007B2FB5"/>
    <w:rsid w:val="007E6FCD"/>
    <w:rsid w:val="007F1804"/>
    <w:rsid w:val="00807AAF"/>
    <w:rsid w:val="00830A43"/>
    <w:rsid w:val="00881BDC"/>
    <w:rsid w:val="008A4049"/>
    <w:rsid w:val="008C2BB9"/>
    <w:rsid w:val="008C7E10"/>
    <w:rsid w:val="0091386F"/>
    <w:rsid w:val="00977701"/>
    <w:rsid w:val="009B0FD4"/>
    <w:rsid w:val="00A87134"/>
    <w:rsid w:val="00A92B2F"/>
    <w:rsid w:val="00AA7442"/>
    <w:rsid w:val="00AB38F8"/>
    <w:rsid w:val="00AC51F4"/>
    <w:rsid w:val="00B2255B"/>
    <w:rsid w:val="00B9515E"/>
    <w:rsid w:val="00BA1269"/>
    <w:rsid w:val="00C163CB"/>
    <w:rsid w:val="00C251AA"/>
    <w:rsid w:val="00C446D8"/>
    <w:rsid w:val="00C71D32"/>
    <w:rsid w:val="00D31B39"/>
    <w:rsid w:val="00D72CA6"/>
    <w:rsid w:val="00D866EB"/>
    <w:rsid w:val="00DC6EB9"/>
    <w:rsid w:val="00DD2E97"/>
    <w:rsid w:val="00EF5EE1"/>
    <w:rsid w:val="00F65B78"/>
    <w:rsid w:val="00F84A70"/>
    <w:rsid w:val="00FB0594"/>
    <w:rsid w:val="00FD6593"/>
    <w:rsid w:val="00FE41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200433"/>
  <w15:chartTrackingRefBased/>
  <w15:docId w15:val="{DF80051A-E4A9-43EA-98E4-4BABD1413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4365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4365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4365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4365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4365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4365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4365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4365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4365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4365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4365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4365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4365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4365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4365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4365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4365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43659"/>
    <w:rPr>
      <w:rFonts w:eastAsiaTheme="majorEastAsia" w:cstheme="majorBidi"/>
      <w:color w:val="272727" w:themeColor="text1" w:themeTint="D8"/>
    </w:rPr>
  </w:style>
  <w:style w:type="paragraph" w:styleId="Title">
    <w:name w:val="Title"/>
    <w:basedOn w:val="Normal"/>
    <w:next w:val="Normal"/>
    <w:link w:val="TitleChar"/>
    <w:uiPriority w:val="10"/>
    <w:qFormat/>
    <w:rsid w:val="0064365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4365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4365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4365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43659"/>
    <w:pPr>
      <w:spacing w:before="160"/>
      <w:jc w:val="center"/>
    </w:pPr>
    <w:rPr>
      <w:i/>
      <w:iCs/>
      <w:color w:val="404040" w:themeColor="text1" w:themeTint="BF"/>
    </w:rPr>
  </w:style>
  <w:style w:type="character" w:customStyle="1" w:styleId="QuoteChar">
    <w:name w:val="Quote Char"/>
    <w:basedOn w:val="DefaultParagraphFont"/>
    <w:link w:val="Quote"/>
    <w:uiPriority w:val="29"/>
    <w:rsid w:val="00643659"/>
    <w:rPr>
      <w:i/>
      <w:iCs/>
      <w:color w:val="404040" w:themeColor="text1" w:themeTint="BF"/>
    </w:rPr>
  </w:style>
  <w:style w:type="paragraph" w:styleId="ListParagraph">
    <w:name w:val="List Paragraph"/>
    <w:basedOn w:val="Normal"/>
    <w:link w:val="ListParagraphChar"/>
    <w:uiPriority w:val="34"/>
    <w:qFormat/>
    <w:rsid w:val="00643659"/>
    <w:pPr>
      <w:ind w:left="720"/>
      <w:contextualSpacing/>
    </w:pPr>
  </w:style>
  <w:style w:type="character" w:styleId="IntenseEmphasis">
    <w:name w:val="Intense Emphasis"/>
    <w:basedOn w:val="DefaultParagraphFont"/>
    <w:uiPriority w:val="21"/>
    <w:qFormat/>
    <w:rsid w:val="00643659"/>
    <w:rPr>
      <w:i/>
      <w:iCs/>
      <w:color w:val="0F4761" w:themeColor="accent1" w:themeShade="BF"/>
    </w:rPr>
  </w:style>
  <w:style w:type="paragraph" w:styleId="IntenseQuote">
    <w:name w:val="Intense Quote"/>
    <w:basedOn w:val="Normal"/>
    <w:next w:val="Normal"/>
    <w:link w:val="IntenseQuoteChar"/>
    <w:uiPriority w:val="30"/>
    <w:qFormat/>
    <w:rsid w:val="0064365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43659"/>
    <w:rPr>
      <w:i/>
      <w:iCs/>
      <w:color w:val="0F4761" w:themeColor="accent1" w:themeShade="BF"/>
    </w:rPr>
  </w:style>
  <w:style w:type="character" w:styleId="IntenseReference">
    <w:name w:val="Intense Reference"/>
    <w:basedOn w:val="DefaultParagraphFont"/>
    <w:uiPriority w:val="32"/>
    <w:qFormat/>
    <w:rsid w:val="00643659"/>
    <w:rPr>
      <w:b/>
      <w:bCs/>
      <w:smallCaps/>
      <w:color w:val="0F4761" w:themeColor="accent1" w:themeShade="BF"/>
      <w:spacing w:val="5"/>
    </w:rPr>
  </w:style>
  <w:style w:type="paragraph" w:customStyle="1" w:styleId="EndNoteBibliographyTitle">
    <w:name w:val="EndNote Bibliography Title"/>
    <w:basedOn w:val="Normal"/>
    <w:link w:val="EndNoteBibliographyTitleChar"/>
    <w:rsid w:val="008C2BB9"/>
    <w:pPr>
      <w:spacing w:after="0"/>
      <w:jc w:val="center"/>
    </w:pPr>
    <w:rPr>
      <w:rFonts w:ascii="Aptos" w:hAnsi="Aptos"/>
      <w:noProof/>
      <w:lang w:val="en-US"/>
    </w:rPr>
  </w:style>
  <w:style w:type="character" w:customStyle="1" w:styleId="ListParagraphChar">
    <w:name w:val="List Paragraph Char"/>
    <w:basedOn w:val="DefaultParagraphFont"/>
    <w:link w:val="ListParagraph"/>
    <w:uiPriority w:val="34"/>
    <w:rsid w:val="008C2BB9"/>
  </w:style>
  <w:style w:type="character" w:customStyle="1" w:styleId="EndNoteBibliographyTitleChar">
    <w:name w:val="EndNote Bibliography Title Char"/>
    <w:basedOn w:val="ListParagraphChar"/>
    <w:link w:val="EndNoteBibliographyTitle"/>
    <w:rsid w:val="008C2BB9"/>
    <w:rPr>
      <w:rFonts w:ascii="Aptos" w:hAnsi="Aptos"/>
      <w:noProof/>
      <w:lang w:val="en-US"/>
    </w:rPr>
  </w:style>
  <w:style w:type="paragraph" w:customStyle="1" w:styleId="EndNoteBibliography">
    <w:name w:val="EndNote Bibliography"/>
    <w:basedOn w:val="Normal"/>
    <w:link w:val="EndNoteBibliographyChar"/>
    <w:rsid w:val="008C2BB9"/>
    <w:pPr>
      <w:numPr>
        <w:numId w:val="2"/>
      </w:numPr>
      <w:spacing w:line="240" w:lineRule="auto"/>
    </w:pPr>
    <w:rPr>
      <w:rFonts w:ascii="Aptos" w:hAnsi="Aptos"/>
      <w:noProof/>
      <w:lang w:val="en-US"/>
    </w:rPr>
  </w:style>
  <w:style w:type="character" w:customStyle="1" w:styleId="EndNoteBibliographyChar">
    <w:name w:val="EndNote Bibliography Char"/>
    <w:basedOn w:val="ListParagraphChar"/>
    <w:link w:val="EndNoteBibliography"/>
    <w:rsid w:val="008C2BB9"/>
    <w:rPr>
      <w:rFonts w:ascii="Aptos" w:hAnsi="Aptos"/>
      <w:noProof/>
      <w:lang w:val="en-US"/>
    </w:rPr>
  </w:style>
  <w:style w:type="character" w:styleId="Hyperlink">
    <w:name w:val="Hyperlink"/>
    <w:basedOn w:val="DefaultParagraphFont"/>
    <w:uiPriority w:val="99"/>
    <w:unhideWhenUsed/>
    <w:rsid w:val="008C2BB9"/>
    <w:rPr>
      <w:color w:val="467886" w:themeColor="hyperlink"/>
      <w:u w:val="single"/>
    </w:rPr>
  </w:style>
  <w:style w:type="character" w:styleId="UnresolvedMention">
    <w:name w:val="Unresolved Mention"/>
    <w:basedOn w:val="DefaultParagraphFont"/>
    <w:uiPriority w:val="99"/>
    <w:semiHidden/>
    <w:unhideWhenUsed/>
    <w:rsid w:val="008C2BB9"/>
    <w:rPr>
      <w:color w:val="605E5C"/>
      <w:shd w:val="clear" w:color="auto" w:fill="E1DFDD"/>
    </w:rPr>
  </w:style>
  <w:style w:type="paragraph" w:styleId="Caption">
    <w:name w:val="caption"/>
    <w:basedOn w:val="Normal"/>
    <w:next w:val="Normal"/>
    <w:uiPriority w:val="35"/>
    <w:unhideWhenUsed/>
    <w:qFormat/>
    <w:rsid w:val="001F3554"/>
    <w:pPr>
      <w:spacing w:after="200" w:line="240" w:lineRule="auto"/>
    </w:pPr>
    <w:rPr>
      <w:i/>
      <w:iCs/>
      <w:color w:val="0E2841" w:themeColor="text2"/>
      <w:sz w:val="18"/>
      <w:szCs w:val="18"/>
    </w:rPr>
  </w:style>
  <w:style w:type="character" w:styleId="CommentReference">
    <w:name w:val="annotation reference"/>
    <w:basedOn w:val="DefaultParagraphFont"/>
    <w:uiPriority w:val="99"/>
    <w:semiHidden/>
    <w:unhideWhenUsed/>
    <w:rsid w:val="00EF5EE1"/>
    <w:rPr>
      <w:sz w:val="16"/>
      <w:szCs w:val="16"/>
    </w:rPr>
  </w:style>
  <w:style w:type="paragraph" w:styleId="CommentText">
    <w:name w:val="annotation text"/>
    <w:basedOn w:val="Normal"/>
    <w:link w:val="CommentTextChar"/>
    <w:uiPriority w:val="99"/>
    <w:unhideWhenUsed/>
    <w:rsid w:val="00EF5EE1"/>
    <w:pPr>
      <w:spacing w:line="240" w:lineRule="auto"/>
    </w:pPr>
    <w:rPr>
      <w:sz w:val="20"/>
      <w:szCs w:val="20"/>
    </w:rPr>
  </w:style>
  <w:style w:type="character" w:customStyle="1" w:styleId="CommentTextChar">
    <w:name w:val="Comment Text Char"/>
    <w:basedOn w:val="DefaultParagraphFont"/>
    <w:link w:val="CommentText"/>
    <w:uiPriority w:val="99"/>
    <w:rsid w:val="00EF5EE1"/>
    <w:rPr>
      <w:sz w:val="20"/>
      <w:szCs w:val="20"/>
    </w:rPr>
  </w:style>
  <w:style w:type="paragraph" w:styleId="Footer">
    <w:name w:val="footer"/>
    <w:basedOn w:val="Normal"/>
    <w:link w:val="FooterChar"/>
    <w:uiPriority w:val="99"/>
    <w:unhideWhenUsed/>
    <w:rsid w:val="00EF5E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EF5EE1"/>
  </w:style>
  <w:style w:type="character" w:styleId="LineNumber">
    <w:name w:val="line number"/>
    <w:basedOn w:val="DefaultParagraphFont"/>
    <w:uiPriority w:val="99"/>
    <w:semiHidden/>
    <w:unhideWhenUsed/>
    <w:rsid w:val="00EF5E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69094">
      <w:bodyDiv w:val="1"/>
      <w:marLeft w:val="0"/>
      <w:marRight w:val="0"/>
      <w:marTop w:val="0"/>
      <w:marBottom w:val="0"/>
      <w:divBdr>
        <w:top w:val="none" w:sz="0" w:space="0" w:color="auto"/>
        <w:left w:val="none" w:sz="0" w:space="0" w:color="auto"/>
        <w:bottom w:val="none" w:sz="0" w:space="0" w:color="auto"/>
        <w:right w:val="none" w:sz="0" w:space="0" w:color="auto"/>
      </w:divBdr>
    </w:div>
    <w:div w:id="145905776">
      <w:bodyDiv w:val="1"/>
      <w:marLeft w:val="0"/>
      <w:marRight w:val="0"/>
      <w:marTop w:val="0"/>
      <w:marBottom w:val="0"/>
      <w:divBdr>
        <w:top w:val="none" w:sz="0" w:space="0" w:color="auto"/>
        <w:left w:val="none" w:sz="0" w:space="0" w:color="auto"/>
        <w:bottom w:val="none" w:sz="0" w:space="0" w:color="auto"/>
        <w:right w:val="none" w:sz="0" w:space="0" w:color="auto"/>
      </w:divBdr>
    </w:div>
    <w:div w:id="216943176">
      <w:bodyDiv w:val="1"/>
      <w:marLeft w:val="0"/>
      <w:marRight w:val="0"/>
      <w:marTop w:val="0"/>
      <w:marBottom w:val="0"/>
      <w:divBdr>
        <w:top w:val="none" w:sz="0" w:space="0" w:color="auto"/>
        <w:left w:val="none" w:sz="0" w:space="0" w:color="auto"/>
        <w:bottom w:val="none" w:sz="0" w:space="0" w:color="auto"/>
        <w:right w:val="none" w:sz="0" w:space="0" w:color="auto"/>
      </w:divBdr>
    </w:div>
    <w:div w:id="343168550">
      <w:bodyDiv w:val="1"/>
      <w:marLeft w:val="0"/>
      <w:marRight w:val="0"/>
      <w:marTop w:val="0"/>
      <w:marBottom w:val="0"/>
      <w:divBdr>
        <w:top w:val="none" w:sz="0" w:space="0" w:color="auto"/>
        <w:left w:val="none" w:sz="0" w:space="0" w:color="auto"/>
        <w:bottom w:val="none" w:sz="0" w:space="0" w:color="auto"/>
        <w:right w:val="none" w:sz="0" w:space="0" w:color="auto"/>
      </w:divBdr>
    </w:div>
    <w:div w:id="379205695">
      <w:bodyDiv w:val="1"/>
      <w:marLeft w:val="0"/>
      <w:marRight w:val="0"/>
      <w:marTop w:val="0"/>
      <w:marBottom w:val="0"/>
      <w:divBdr>
        <w:top w:val="none" w:sz="0" w:space="0" w:color="auto"/>
        <w:left w:val="none" w:sz="0" w:space="0" w:color="auto"/>
        <w:bottom w:val="none" w:sz="0" w:space="0" w:color="auto"/>
        <w:right w:val="none" w:sz="0" w:space="0" w:color="auto"/>
      </w:divBdr>
    </w:div>
    <w:div w:id="606692072">
      <w:bodyDiv w:val="1"/>
      <w:marLeft w:val="0"/>
      <w:marRight w:val="0"/>
      <w:marTop w:val="0"/>
      <w:marBottom w:val="0"/>
      <w:divBdr>
        <w:top w:val="none" w:sz="0" w:space="0" w:color="auto"/>
        <w:left w:val="none" w:sz="0" w:space="0" w:color="auto"/>
        <w:bottom w:val="none" w:sz="0" w:space="0" w:color="auto"/>
        <w:right w:val="none" w:sz="0" w:space="0" w:color="auto"/>
      </w:divBdr>
    </w:div>
    <w:div w:id="781341115">
      <w:bodyDiv w:val="1"/>
      <w:marLeft w:val="0"/>
      <w:marRight w:val="0"/>
      <w:marTop w:val="0"/>
      <w:marBottom w:val="0"/>
      <w:divBdr>
        <w:top w:val="none" w:sz="0" w:space="0" w:color="auto"/>
        <w:left w:val="none" w:sz="0" w:space="0" w:color="auto"/>
        <w:bottom w:val="none" w:sz="0" w:space="0" w:color="auto"/>
        <w:right w:val="none" w:sz="0" w:space="0" w:color="auto"/>
      </w:divBdr>
    </w:div>
    <w:div w:id="853416991">
      <w:bodyDiv w:val="1"/>
      <w:marLeft w:val="0"/>
      <w:marRight w:val="0"/>
      <w:marTop w:val="0"/>
      <w:marBottom w:val="0"/>
      <w:divBdr>
        <w:top w:val="none" w:sz="0" w:space="0" w:color="auto"/>
        <w:left w:val="none" w:sz="0" w:space="0" w:color="auto"/>
        <w:bottom w:val="none" w:sz="0" w:space="0" w:color="auto"/>
        <w:right w:val="none" w:sz="0" w:space="0" w:color="auto"/>
      </w:divBdr>
    </w:div>
    <w:div w:id="957447933">
      <w:bodyDiv w:val="1"/>
      <w:marLeft w:val="0"/>
      <w:marRight w:val="0"/>
      <w:marTop w:val="0"/>
      <w:marBottom w:val="0"/>
      <w:divBdr>
        <w:top w:val="none" w:sz="0" w:space="0" w:color="auto"/>
        <w:left w:val="none" w:sz="0" w:space="0" w:color="auto"/>
        <w:bottom w:val="none" w:sz="0" w:space="0" w:color="auto"/>
        <w:right w:val="none" w:sz="0" w:space="0" w:color="auto"/>
      </w:divBdr>
    </w:div>
    <w:div w:id="1072579121">
      <w:bodyDiv w:val="1"/>
      <w:marLeft w:val="0"/>
      <w:marRight w:val="0"/>
      <w:marTop w:val="0"/>
      <w:marBottom w:val="0"/>
      <w:divBdr>
        <w:top w:val="none" w:sz="0" w:space="0" w:color="auto"/>
        <w:left w:val="none" w:sz="0" w:space="0" w:color="auto"/>
        <w:bottom w:val="none" w:sz="0" w:space="0" w:color="auto"/>
        <w:right w:val="none" w:sz="0" w:space="0" w:color="auto"/>
      </w:divBdr>
    </w:div>
    <w:div w:id="1139760793">
      <w:bodyDiv w:val="1"/>
      <w:marLeft w:val="0"/>
      <w:marRight w:val="0"/>
      <w:marTop w:val="0"/>
      <w:marBottom w:val="0"/>
      <w:divBdr>
        <w:top w:val="none" w:sz="0" w:space="0" w:color="auto"/>
        <w:left w:val="none" w:sz="0" w:space="0" w:color="auto"/>
        <w:bottom w:val="none" w:sz="0" w:space="0" w:color="auto"/>
        <w:right w:val="none" w:sz="0" w:space="0" w:color="auto"/>
      </w:divBdr>
    </w:div>
    <w:div w:id="1236473910">
      <w:bodyDiv w:val="1"/>
      <w:marLeft w:val="0"/>
      <w:marRight w:val="0"/>
      <w:marTop w:val="0"/>
      <w:marBottom w:val="0"/>
      <w:divBdr>
        <w:top w:val="none" w:sz="0" w:space="0" w:color="auto"/>
        <w:left w:val="none" w:sz="0" w:space="0" w:color="auto"/>
        <w:bottom w:val="none" w:sz="0" w:space="0" w:color="auto"/>
        <w:right w:val="none" w:sz="0" w:space="0" w:color="auto"/>
      </w:divBdr>
    </w:div>
    <w:div w:id="1398825295">
      <w:bodyDiv w:val="1"/>
      <w:marLeft w:val="0"/>
      <w:marRight w:val="0"/>
      <w:marTop w:val="0"/>
      <w:marBottom w:val="0"/>
      <w:divBdr>
        <w:top w:val="none" w:sz="0" w:space="0" w:color="auto"/>
        <w:left w:val="none" w:sz="0" w:space="0" w:color="auto"/>
        <w:bottom w:val="none" w:sz="0" w:space="0" w:color="auto"/>
        <w:right w:val="none" w:sz="0" w:space="0" w:color="auto"/>
      </w:divBdr>
    </w:div>
    <w:div w:id="1458833088">
      <w:bodyDiv w:val="1"/>
      <w:marLeft w:val="0"/>
      <w:marRight w:val="0"/>
      <w:marTop w:val="0"/>
      <w:marBottom w:val="0"/>
      <w:divBdr>
        <w:top w:val="none" w:sz="0" w:space="0" w:color="auto"/>
        <w:left w:val="none" w:sz="0" w:space="0" w:color="auto"/>
        <w:bottom w:val="none" w:sz="0" w:space="0" w:color="auto"/>
        <w:right w:val="none" w:sz="0" w:space="0" w:color="auto"/>
      </w:divBdr>
    </w:div>
    <w:div w:id="1590774282">
      <w:bodyDiv w:val="1"/>
      <w:marLeft w:val="0"/>
      <w:marRight w:val="0"/>
      <w:marTop w:val="0"/>
      <w:marBottom w:val="0"/>
      <w:divBdr>
        <w:top w:val="none" w:sz="0" w:space="0" w:color="auto"/>
        <w:left w:val="none" w:sz="0" w:space="0" w:color="auto"/>
        <w:bottom w:val="none" w:sz="0" w:space="0" w:color="auto"/>
        <w:right w:val="none" w:sz="0" w:space="0" w:color="auto"/>
      </w:divBdr>
    </w:div>
    <w:div w:id="1634631015">
      <w:bodyDiv w:val="1"/>
      <w:marLeft w:val="0"/>
      <w:marRight w:val="0"/>
      <w:marTop w:val="0"/>
      <w:marBottom w:val="0"/>
      <w:divBdr>
        <w:top w:val="none" w:sz="0" w:space="0" w:color="auto"/>
        <w:left w:val="none" w:sz="0" w:space="0" w:color="auto"/>
        <w:bottom w:val="none" w:sz="0" w:space="0" w:color="auto"/>
        <w:right w:val="none" w:sz="0" w:space="0" w:color="auto"/>
      </w:divBdr>
    </w:div>
    <w:div w:id="1654945597">
      <w:bodyDiv w:val="1"/>
      <w:marLeft w:val="0"/>
      <w:marRight w:val="0"/>
      <w:marTop w:val="0"/>
      <w:marBottom w:val="0"/>
      <w:divBdr>
        <w:top w:val="none" w:sz="0" w:space="0" w:color="auto"/>
        <w:left w:val="none" w:sz="0" w:space="0" w:color="auto"/>
        <w:bottom w:val="none" w:sz="0" w:space="0" w:color="auto"/>
        <w:right w:val="none" w:sz="0" w:space="0" w:color="auto"/>
      </w:divBdr>
    </w:div>
    <w:div w:id="1737700937">
      <w:bodyDiv w:val="1"/>
      <w:marLeft w:val="0"/>
      <w:marRight w:val="0"/>
      <w:marTop w:val="0"/>
      <w:marBottom w:val="0"/>
      <w:divBdr>
        <w:top w:val="none" w:sz="0" w:space="0" w:color="auto"/>
        <w:left w:val="none" w:sz="0" w:space="0" w:color="auto"/>
        <w:bottom w:val="none" w:sz="0" w:space="0" w:color="auto"/>
        <w:right w:val="none" w:sz="0" w:space="0" w:color="auto"/>
      </w:divBdr>
    </w:div>
    <w:div w:id="1927029893">
      <w:bodyDiv w:val="1"/>
      <w:marLeft w:val="0"/>
      <w:marRight w:val="0"/>
      <w:marTop w:val="0"/>
      <w:marBottom w:val="0"/>
      <w:divBdr>
        <w:top w:val="none" w:sz="0" w:space="0" w:color="auto"/>
        <w:left w:val="none" w:sz="0" w:space="0" w:color="auto"/>
        <w:bottom w:val="none" w:sz="0" w:space="0" w:color="auto"/>
        <w:right w:val="none" w:sz="0" w:space="0" w:color="auto"/>
      </w:divBdr>
    </w:div>
    <w:div w:id="2003310897">
      <w:bodyDiv w:val="1"/>
      <w:marLeft w:val="0"/>
      <w:marRight w:val="0"/>
      <w:marTop w:val="0"/>
      <w:marBottom w:val="0"/>
      <w:divBdr>
        <w:top w:val="none" w:sz="0" w:space="0" w:color="auto"/>
        <w:left w:val="none" w:sz="0" w:space="0" w:color="auto"/>
        <w:bottom w:val="none" w:sz="0" w:space="0" w:color="auto"/>
        <w:right w:val="none" w:sz="0" w:space="0" w:color="auto"/>
      </w:divBdr>
    </w:div>
    <w:div w:id="2040162463">
      <w:bodyDiv w:val="1"/>
      <w:marLeft w:val="0"/>
      <w:marRight w:val="0"/>
      <w:marTop w:val="0"/>
      <w:marBottom w:val="0"/>
      <w:divBdr>
        <w:top w:val="none" w:sz="0" w:space="0" w:color="auto"/>
        <w:left w:val="none" w:sz="0" w:space="0" w:color="auto"/>
        <w:bottom w:val="none" w:sz="0" w:space="0" w:color="auto"/>
        <w:right w:val="none" w:sz="0" w:space="0" w:color="auto"/>
      </w:divBdr>
    </w:div>
    <w:div w:id="2050448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s://CRAN.R-project.org/package=PCAmixdata" TargetMode="External"/><Relationship Id="rId26" Type="http://schemas.openxmlformats.org/officeDocument/2006/relationships/hyperlink" Target="https://doi.org/10.1111/j.1365-2745.2007.01308.x" TargetMode="External"/><Relationship Id="rId3" Type="http://schemas.openxmlformats.org/officeDocument/2006/relationships/styles" Target="styles.xml"/><Relationship Id="rId21" Type="http://schemas.openxmlformats.org/officeDocument/2006/relationships/hyperlink" Target="https://doi.org/10.1038/sdata.2017.122" TargetMode="Externa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doi.org/10.18637/jss.v067.i01" TargetMode="External"/><Relationship Id="rId25" Type="http://schemas.openxmlformats.org/officeDocument/2006/relationships/hyperlink" Target="https://www.R-project.org/" TargetMode="External"/><Relationship Id="rId2" Type="http://schemas.openxmlformats.org/officeDocument/2006/relationships/numbering" Target="numbering.xml"/><Relationship Id="rId16" Type="http://schemas.openxmlformats.org/officeDocument/2006/relationships/hyperlink" Target="https://doi.org/10.5285/f61dcdcc-b838-4bfa-8d94-7820114a68c8" TargetMode="External"/><Relationship Id="rId20" Type="http://schemas.openxmlformats.org/officeDocument/2006/relationships/hyperlink" Target="https://doi.org/https://doi.org/10.1016/j.shpsa.2014.03.004"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CRAN.R-project.org/package=vegan" TargetMode="External"/><Relationship Id="rId5" Type="http://schemas.openxmlformats.org/officeDocument/2006/relationships/webSettings" Target="webSettings.xml"/><Relationship Id="rId15" Type="http://schemas.openxmlformats.org/officeDocument/2006/relationships/hyperlink" Target="https://doi.org/10.1002/ece3.71049" TargetMode="External"/><Relationship Id="rId23" Type="http://schemas.openxmlformats.org/officeDocument/2006/relationships/hyperlink" Target="https://doi.org/10.1093/jxb/ert208"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CRAN.R-project.org/package=ordinal"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hyperlink" Target="https://doi.org/10.1016/s0168-1923(97)00027-0" TargetMode="External"/><Relationship Id="rId27" Type="http://schemas.openxmlformats.org/officeDocument/2006/relationships/hyperlink" Target="https://www.stats.ox.ac.uk/pub/MASS4/"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D70DD2-626C-48F6-B1E7-D79ACFB2A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174</TotalTime>
  <Pages>24</Pages>
  <Words>10612</Words>
  <Characters>60489</Characters>
  <Application>Microsoft Office Word</Application>
  <DocSecurity>0</DocSecurity>
  <Lines>504</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James Baker</dc:creator>
  <cp:keywords/>
  <dc:description/>
  <cp:lastModifiedBy>James Baker</cp:lastModifiedBy>
  <cp:revision>53</cp:revision>
  <dcterms:created xsi:type="dcterms:W3CDTF">2026-01-27T10:35:00Z</dcterms:created>
  <dcterms:modified xsi:type="dcterms:W3CDTF">2026-05-03T07:24:00Z</dcterms:modified>
</cp:coreProperties>
</file>