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9824D" w14:textId="5E83ABE8" w:rsidR="008D37A9" w:rsidRDefault="008D37A9" w:rsidP="008568E3">
      <w:r w:rsidRPr="008D37A9">
        <w:t xml:space="preserve">Topography, </w:t>
      </w:r>
      <w:proofErr w:type="spellStart"/>
      <w:r w:rsidRPr="008D37A9">
        <w:t>orthoimagery</w:t>
      </w:r>
      <w:proofErr w:type="spellEnd"/>
      <w:r w:rsidRPr="008D37A9">
        <w:t xml:space="preserve">, topographic change, predicted hydraulic flow, and bedload transport rates of the </w:t>
      </w:r>
      <w:proofErr w:type="spellStart"/>
      <w:r w:rsidRPr="008D37A9">
        <w:t>Bislak</w:t>
      </w:r>
      <w:proofErr w:type="spellEnd"/>
      <w:r w:rsidRPr="008D37A9">
        <w:t xml:space="preserve"> River, the Philippines</w:t>
      </w:r>
    </w:p>
    <w:p w14:paraId="48F8A9DD" w14:textId="4A0B21FE" w:rsidR="7E232D87" w:rsidRDefault="004D5E8A">
      <w:r>
        <w:t>Summary</w:t>
      </w:r>
    </w:p>
    <w:p w14:paraId="7852F39D" w14:textId="58823B5E" w:rsidR="408B4EDF" w:rsidRDefault="408B4EDF" w:rsidP="00370943">
      <w:pPr>
        <w:jc w:val="both"/>
      </w:pPr>
      <w:r>
        <w:t xml:space="preserve">For the </w:t>
      </w:r>
      <w:proofErr w:type="spellStart"/>
      <w:r>
        <w:t>Bislak</w:t>
      </w:r>
      <w:proofErr w:type="spellEnd"/>
      <w:r>
        <w:t xml:space="preserve"> River, the Philippines, this dataset contains a set of</w:t>
      </w:r>
      <w:r w:rsidR="5B2E98F0">
        <w:t xml:space="preserve"> gridded </w:t>
      </w:r>
      <w:proofErr w:type="spellStart"/>
      <w:r w:rsidR="5B2E98F0">
        <w:t>rasters</w:t>
      </w:r>
      <w:proofErr w:type="spellEnd"/>
      <w:r w:rsidR="5B2E98F0">
        <w:t xml:space="preserve"> of</w:t>
      </w:r>
      <w:r>
        <w:t>: (</w:t>
      </w:r>
      <w:proofErr w:type="spellStart"/>
      <w:r>
        <w:t>i</w:t>
      </w:r>
      <w:proofErr w:type="spellEnd"/>
      <w:r>
        <w:t xml:space="preserve">) topography and </w:t>
      </w:r>
      <w:proofErr w:type="spellStart"/>
      <w:r>
        <w:t>orthoimagery</w:t>
      </w:r>
      <w:proofErr w:type="spellEnd"/>
      <w:r>
        <w:t xml:space="preserve"> acquired in 2014, 2019 and 2020; (ii) Digital Elevation Models (DEMs) of Difference; (iii) predicted depth, velocity and shear </w:t>
      </w:r>
      <w:r w:rsidR="004927E5">
        <w:t>stress for</w:t>
      </w:r>
      <w:r>
        <w:t xml:space="preserve"> 10, 50 and 100 year return period flood scenarios; and (iv) calculated bedload transport for </w:t>
      </w:r>
      <w:proofErr w:type="gramStart"/>
      <w:r>
        <w:t>10, 50 and 100 year</w:t>
      </w:r>
      <w:proofErr w:type="gramEnd"/>
      <w:r>
        <w:t xml:space="preserve"> return period flood scenarios. </w:t>
      </w:r>
      <w:r w:rsidR="5C47054C">
        <w:t xml:space="preserve">Topography and </w:t>
      </w:r>
      <w:proofErr w:type="spellStart"/>
      <w:r w:rsidR="5C47054C">
        <w:t>orthoimagery</w:t>
      </w:r>
      <w:proofErr w:type="spellEnd"/>
      <w:r w:rsidR="5C47054C">
        <w:t xml:space="preserve"> were acquired from airborne Light Detection and Ranging (LiDAR) surveys. DEMs of Difference were generated using Geomorphic Change Detection software. </w:t>
      </w:r>
      <w:r w:rsidR="14E7D29F">
        <w:t xml:space="preserve">Depth, velocity and shear stress were predicted using HEC-RAS two-dimensional hydraulic model simulations. </w:t>
      </w:r>
      <w:r>
        <w:t xml:space="preserve">Shear stress predictions were combined with median (D50) grain size observations to compute bedload transport rates for four different river patterns (meandering, wandering, braided, deltaic). For the </w:t>
      </w:r>
      <w:r w:rsidR="004927E5">
        <w:t>50-year</w:t>
      </w:r>
      <w:r>
        <w:t xml:space="preserve"> return period flood event, bedload transport rates were also calculated for the D16 and D84 grain size. Geomorphic change detection was used to identify geomorphic change which took place between 2014-2019 and 2019-2020. All geospatial data are in WGS 1984 UTM Zone 51N. This data was created as part of a numerical, two-dimensional hydraulic modelling investigation into using two-dimensional HEC-RAS modelling to estimate predict patterns of flood inundation and bedload transport for the </w:t>
      </w:r>
      <w:proofErr w:type="spellStart"/>
      <w:r>
        <w:t>Bislak</w:t>
      </w:r>
      <w:proofErr w:type="spellEnd"/>
      <w:r>
        <w:t xml:space="preserve"> River Philippines under different flood scenarios (10-, 50- 100-year flood events).</w:t>
      </w:r>
      <w:r w:rsidR="09B1AADD">
        <w:t xml:space="preserve"> These data were produced as part of NERC Project</w:t>
      </w:r>
      <w:r w:rsidR="7DE76D84">
        <w:t xml:space="preserve"> NE/S003312/1</w:t>
      </w:r>
      <w:r w:rsidR="09B1AADD">
        <w:t xml:space="preserve">, led in the UK by Richard Williams, University of Glasgow. </w:t>
      </w:r>
    </w:p>
    <w:p w14:paraId="5D46240A" w14:textId="55A7C3B2" w:rsidR="7E232D87" w:rsidRDefault="7E232D87"/>
    <w:p w14:paraId="146C6CA0" w14:textId="7D75C13D" w:rsidR="7E232D87" w:rsidRDefault="7E232D87"/>
    <w:p w14:paraId="4EDEF557" w14:textId="77D8E86C" w:rsidR="008A4431" w:rsidRPr="002E11DF" w:rsidRDefault="008A4431" w:rsidP="008568E3">
      <w:pPr>
        <w:rPr>
          <w:b/>
          <w:bCs/>
        </w:rPr>
      </w:pPr>
      <w:r w:rsidRPr="002E11DF">
        <w:rPr>
          <w:b/>
          <w:bCs/>
        </w:rPr>
        <w:t>Repeat Topographic Surveys</w:t>
      </w:r>
    </w:p>
    <w:p w14:paraId="188AB62A" w14:textId="254649D9" w:rsidR="00F07B90" w:rsidRPr="00A84DBC" w:rsidRDefault="00F07B90" w:rsidP="008568E3">
      <w:r w:rsidRPr="00705916">
        <w:t xml:space="preserve">Data </w:t>
      </w:r>
      <w:r w:rsidRPr="00473F0E">
        <w:t>type:.</w:t>
      </w:r>
      <w:proofErr w:type="spellStart"/>
      <w:r w:rsidRPr="00473F0E">
        <w:t>tif</w:t>
      </w:r>
      <w:proofErr w:type="spellEnd"/>
    </w:p>
    <w:p w14:paraId="6C600A68" w14:textId="52DE4F5C" w:rsidR="00A84DBC" w:rsidRPr="00A84DBC" w:rsidRDefault="00A84DBC" w:rsidP="008568E3">
      <w:pPr>
        <w:rPr>
          <w:u w:val="single"/>
        </w:rPr>
      </w:pPr>
      <w:r w:rsidRPr="001472DA">
        <w:t>Units:</w:t>
      </w:r>
      <w:r w:rsidRPr="00A84DBC">
        <w:t xml:space="preserve"> m</w:t>
      </w:r>
    </w:p>
    <w:p w14:paraId="049C8C8B" w14:textId="52C7FF83" w:rsidR="008A4431" w:rsidRPr="00705916" w:rsidRDefault="008A4431" w:rsidP="008568E3">
      <w:r w:rsidRPr="00705916">
        <w:t>Collection/generation methods</w:t>
      </w:r>
      <w:r w:rsidR="009421F6" w:rsidRPr="00705916">
        <w:t>:</w:t>
      </w:r>
    </w:p>
    <w:p w14:paraId="213A2DCB" w14:textId="0523F09D" w:rsidR="008A4431" w:rsidRPr="00705916" w:rsidRDefault="008C3CE5" w:rsidP="008568E3">
      <w:r w:rsidRPr="486929B9">
        <w:t xml:space="preserve">An initial topographic survey of the </w:t>
      </w:r>
      <w:proofErr w:type="spellStart"/>
      <w:r w:rsidRPr="486929B9">
        <w:t>Bislak</w:t>
      </w:r>
      <w:proofErr w:type="spellEnd"/>
      <w:r w:rsidRPr="486929B9">
        <w:t xml:space="preserve"> River was completed in 2014, as reported by Paringit and Pascua (2015). Subsequent topographic surveys were commissioned in 2019 and 2020 </w:t>
      </w:r>
      <w:r w:rsidR="69C9CA89" w:rsidRPr="486929B9">
        <w:t xml:space="preserve">(Quick et al., 2025) </w:t>
      </w:r>
      <w:r w:rsidRPr="486929B9">
        <w:t xml:space="preserve">to provide repeat datasets. </w:t>
      </w:r>
      <w:r w:rsidR="008A4431" w:rsidRPr="486929B9">
        <w:t xml:space="preserve">Airborne LiDAR surveyed dry topography, with near-vertical aerial imagery also collected. Field measurements of water depth and bed elevation were made at selected locations along the wet channels, using a Global Navigation Satellite System (GNSS) and echo sounding. A spectrally based depth retrieval method (Legleiter et al., 2009) using the Optical River Bathymetry Toolkit, </w:t>
      </w:r>
      <w:proofErr w:type="spellStart"/>
      <w:r w:rsidR="008A4431" w:rsidRPr="486929B9">
        <w:t>ORByT</w:t>
      </w:r>
      <w:proofErr w:type="spellEnd"/>
      <w:r w:rsidR="008A4431" w:rsidRPr="486929B9">
        <w:t xml:space="preserve"> (</w:t>
      </w:r>
      <w:proofErr w:type="spellStart"/>
      <w:r w:rsidR="008A4431" w:rsidRPr="486929B9">
        <w:t>Legleiter</w:t>
      </w:r>
      <w:proofErr w:type="spellEnd"/>
      <w:r w:rsidR="008A4431" w:rsidRPr="486929B9">
        <w:t>, 2021) was then applied to model river bathymetry in shallow areas of the wetted channel. The topography of deeper areas of the wetted channel was directly mapped from RTK-GNSS positioned echo sounding. High-resolution digital elevation models were generated by fusing data from the different survey techniques to obtain a continuous topographic representation (Legleiter and Harrison, 2019).</w:t>
      </w:r>
    </w:p>
    <w:p w14:paraId="029F8C6A" w14:textId="5DA22AA4" w:rsidR="008A4431" w:rsidRPr="00705916" w:rsidRDefault="008A4431" w:rsidP="008568E3">
      <w:r w:rsidRPr="00705916">
        <w:t>DEM Errors</w:t>
      </w:r>
      <w:r w:rsidR="009421F6" w:rsidRPr="00705916">
        <w:t>:</w:t>
      </w:r>
    </w:p>
    <w:p w14:paraId="3DDA719C" w14:textId="0AF8674A" w:rsidR="008A4431" w:rsidRPr="00705916" w:rsidRDefault="008A4431" w:rsidP="008568E3">
      <w:r w:rsidRPr="00705916">
        <w:t xml:space="preserve">Each survey technique that was used to generate a DEM product is associated with a specific error. To assess the quality of the DEM surfaces, errors were calculated by comparing validation data to co-located elevations in the interpolated DEM products (Table. 1). The error magnitudes are consistently lowest for the LiDAR-DEM and highest for the Bathymetry-DEM and OEM-DEM. Consequently, the DEM surfaces are represented more accurately for the dry topography than the wetted channel; but this is to be expected, given that the dry parts of river systems are usually mapped with greater detail </w:t>
      </w:r>
      <w:r w:rsidRPr="00705916">
        <w:lastRenderedPageBreak/>
        <w:t xml:space="preserve">than the wetted parts (Kasvi et al., 2019). </w:t>
      </w:r>
    </w:p>
    <w:p w14:paraId="004542DF" w14:textId="77777777" w:rsidR="008A4431" w:rsidRPr="00705916" w:rsidRDefault="008A4431" w:rsidP="008568E3"/>
    <w:tbl>
      <w:tblPr>
        <w:tblStyle w:val="TableGrid"/>
        <w:tblW w:w="0" w:type="auto"/>
        <w:tblLook w:val="04A0" w:firstRow="1" w:lastRow="0" w:firstColumn="1" w:lastColumn="0" w:noHBand="0" w:noVBand="1"/>
      </w:tblPr>
      <w:tblGrid>
        <w:gridCol w:w="929"/>
        <w:gridCol w:w="1427"/>
        <w:gridCol w:w="1203"/>
        <w:gridCol w:w="1363"/>
        <w:gridCol w:w="1367"/>
        <w:gridCol w:w="1453"/>
        <w:gridCol w:w="1274"/>
      </w:tblGrid>
      <w:tr w:rsidR="008A4431" w:rsidRPr="00705916" w14:paraId="3182EB84" w14:textId="77777777" w:rsidTr="00C55B67">
        <w:tc>
          <w:tcPr>
            <w:tcW w:w="929" w:type="dxa"/>
          </w:tcPr>
          <w:p w14:paraId="7C231D48" w14:textId="77777777" w:rsidR="008A4431" w:rsidRPr="00705916" w:rsidRDefault="008A4431" w:rsidP="008568E3">
            <w:r w:rsidRPr="00705916">
              <w:t>DEM</w:t>
            </w:r>
          </w:p>
        </w:tc>
        <w:tc>
          <w:tcPr>
            <w:tcW w:w="1427" w:type="dxa"/>
          </w:tcPr>
          <w:p w14:paraId="6A273CCE" w14:textId="77777777" w:rsidR="008A4431" w:rsidRPr="00705916" w:rsidRDefault="008A4431" w:rsidP="008568E3">
            <w:r w:rsidRPr="00705916">
              <w:t>Survey technique</w:t>
            </w:r>
          </w:p>
        </w:tc>
        <w:tc>
          <w:tcPr>
            <w:tcW w:w="1203" w:type="dxa"/>
          </w:tcPr>
          <w:p w14:paraId="7E549767" w14:textId="77777777" w:rsidR="008A4431" w:rsidRPr="00705916" w:rsidRDefault="008A4431" w:rsidP="008568E3">
            <w:r w:rsidRPr="00705916">
              <w:t>Validation points</w:t>
            </w:r>
          </w:p>
        </w:tc>
        <w:tc>
          <w:tcPr>
            <w:tcW w:w="1363" w:type="dxa"/>
          </w:tcPr>
          <w:p w14:paraId="0E415231" w14:textId="77777777" w:rsidR="008A4431" w:rsidRPr="00705916" w:rsidRDefault="008A4431" w:rsidP="008568E3">
            <w:r w:rsidRPr="00705916">
              <w:t>Mean (m)</w:t>
            </w:r>
          </w:p>
        </w:tc>
        <w:tc>
          <w:tcPr>
            <w:tcW w:w="1367" w:type="dxa"/>
          </w:tcPr>
          <w:p w14:paraId="7AFADA5E" w14:textId="77777777" w:rsidR="008A4431" w:rsidRPr="00705916" w:rsidRDefault="008A4431" w:rsidP="008568E3">
            <w:r w:rsidRPr="00705916">
              <w:t>Mean Absolute Error (m)</w:t>
            </w:r>
          </w:p>
        </w:tc>
        <w:tc>
          <w:tcPr>
            <w:tcW w:w="1453" w:type="dxa"/>
          </w:tcPr>
          <w:p w14:paraId="04984DAD" w14:textId="77777777" w:rsidR="008A4431" w:rsidRPr="00705916" w:rsidRDefault="008A4431" w:rsidP="008568E3">
            <w:r w:rsidRPr="00705916">
              <w:t>Standard Deviation (m)</w:t>
            </w:r>
          </w:p>
        </w:tc>
        <w:tc>
          <w:tcPr>
            <w:tcW w:w="1274" w:type="dxa"/>
          </w:tcPr>
          <w:p w14:paraId="61E88D55" w14:textId="77777777" w:rsidR="008A4431" w:rsidRPr="00705916" w:rsidRDefault="008A4431" w:rsidP="008568E3">
            <w:r w:rsidRPr="00705916">
              <w:t>Root Mean Square Error (m)</w:t>
            </w:r>
          </w:p>
        </w:tc>
      </w:tr>
      <w:tr w:rsidR="008A4431" w:rsidRPr="00705916" w14:paraId="3E2BAE23" w14:textId="77777777" w:rsidTr="00C55B67">
        <w:trPr>
          <w:trHeight w:val="300"/>
        </w:trPr>
        <w:tc>
          <w:tcPr>
            <w:tcW w:w="929" w:type="dxa"/>
            <w:vMerge w:val="restart"/>
          </w:tcPr>
          <w:p w14:paraId="0692078A" w14:textId="77777777" w:rsidR="008A4431" w:rsidRPr="00705916" w:rsidRDefault="008A4431" w:rsidP="008568E3">
            <w:r w:rsidRPr="00705916">
              <w:t>2019</w:t>
            </w:r>
          </w:p>
        </w:tc>
        <w:tc>
          <w:tcPr>
            <w:tcW w:w="1427" w:type="dxa"/>
          </w:tcPr>
          <w:p w14:paraId="2B37F1C8" w14:textId="77777777" w:rsidR="008A4431" w:rsidRPr="00705916" w:rsidRDefault="008A4431" w:rsidP="008568E3">
            <w:r w:rsidRPr="00705916">
              <w:t>LiDAR-DEM</w:t>
            </w:r>
          </w:p>
        </w:tc>
        <w:tc>
          <w:tcPr>
            <w:tcW w:w="1203" w:type="dxa"/>
            <w:vAlign w:val="center"/>
          </w:tcPr>
          <w:p w14:paraId="1C43456C" w14:textId="77777777" w:rsidR="008A4431" w:rsidRPr="00705916" w:rsidRDefault="008A4431" w:rsidP="008568E3">
            <w:r w:rsidRPr="00705916">
              <w:t>12099</w:t>
            </w:r>
          </w:p>
        </w:tc>
        <w:tc>
          <w:tcPr>
            <w:tcW w:w="1363" w:type="dxa"/>
            <w:vAlign w:val="center"/>
          </w:tcPr>
          <w:p w14:paraId="5BCB09D0" w14:textId="77777777" w:rsidR="008A4431" w:rsidRPr="00705916" w:rsidRDefault="008A4431" w:rsidP="008568E3">
            <w:r w:rsidRPr="00705916">
              <w:t>0.0101</w:t>
            </w:r>
          </w:p>
        </w:tc>
        <w:tc>
          <w:tcPr>
            <w:tcW w:w="1367" w:type="dxa"/>
            <w:vAlign w:val="center"/>
          </w:tcPr>
          <w:p w14:paraId="174458A4" w14:textId="77777777" w:rsidR="008A4431" w:rsidRPr="00705916" w:rsidRDefault="008A4431" w:rsidP="008568E3">
            <w:r w:rsidRPr="00705916">
              <w:t>0.0338</w:t>
            </w:r>
          </w:p>
        </w:tc>
        <w:tc>
          <w:tcPr>
            <w:tcW w:w="1453" w:type="dxa"/>
            <w:vAlign w:val="center"/>
          </w:tcPr>
          <w:p w14:paraId="34094A85" w14:textId="77777777" w:rsidR="008A4431" w:rsidRPr="00705916" w:rsidRDefault="008A4431" w:rsidP="008568E3">
            <w:r w:rsidRPr="00705916">
              <w:t>0.0433</w:t>
            </w:r>
          </w:p>
        </w:tc>
        <w:tc>
          <w:tcPr>
            <w:tcW w:w="1274" w:type="dxa"/>
            <w:vAlign w:val="center"/>
          </w:tcPr>
          <w:p w14:paraId="637C99F8" w14:textId="77777777" w:rsidR="008A4431" w:rsidRPr="00705916" w:rsidRDefault="008A4431" w:rsidP="008568E3">
            <w:r w:rsidRPr="00705916">
              <w:t>0.0445</w:t>
            </w:r>
          </w:p>
        </w:tc>
      </w:tr>
      <w:tr w:rsidR="008A4431" w:rsidRPr="00705916" w14:paraId="52EAD8E6" w14:textId="77777777" w:rsidTr="00C55B67">
        <w:trPr>
          <w:trHeight w:val="300"/>
        </w:trPr>
        <w:tc>
          <w:tcPr>
            <w:tcW w:w="929" w:type="dxa"/>
            <w:vMerge/>
          </w:tcPr>
          <w:p w14:paraId="2CC455E6" w14:textId="77777777" w:rsidR="008A4431" w:rsidRPr="00705916" w:rsidRDefault="008A4431" w:rsidP="008568E3"/>
        </w:tc>
        <w:tc>
          <w:tcPr>
            <w:tcW w:w="1427" w:type="dxa"/>
          </w:tcPr>
          <w:p w14:paraId="03202296" w14:textId="77777777" w:rsidR="008A4431" w:rsidRPr="00705916" w:rsidRDefault="008A4431" w:rsidP="008568E3">
            <w:r w:rsidRPr="00705916">
              <w:t>OEM-DEM</w:t>
            </w:r>
          </w:p>
        </w:tc>
        <w:tc>
          <w:tcPr>
            <w:tcW w:w="1203" w:type="dxa"/>
            <w:vAlign w:val="center"/>
          </w:tcPr>
          <w:p w14:paraId="02DB99A8" w14:textId="77777777" w:rsidR="008A4431" w:rsidRPr="00705916" w:rsidRDefault="008A4431" w:rsidP="008568E3">
            <w:r w:rsidRPr="00705916">
              <w:rPr>
                <w:lang w:eastAsia="en-GB"/>
              </w:rPr>
              <w:t>37059</w:t>
            </w:r>
          </w:p>
        </w:tc>
        <w:tc>
          <w:tcPr>
            <w:tcW w:w="1363" w:type="dxa"/>
            <w:vAlign w:val="center"/>
          </w:tcPr>
          <w:p w14:paraId="3DA2683F" w14:textId="77777777" w:rsidR="008A4431" w:rsidRPr="00705916" w:rsidRDefault="008A4431" w:rsidP="008568E3">
            <w:r w:rsidRPr="00705916">
              <w:t>0.0062</w:t>
            </w:r>
          </w:p>
        </w:tc>
        <w:tc>
          <w:tcPr>
            <w:tcW w:w="1367" w:type="dxa"/>
            <w:vAlign w:val="center"/>
          </w:tcPr>
          <w:p w14:paraId="1A861BCA" w14:textId="77777777" w:rsidR="008A4431" w:rsidRPr="00705916" w:rsidRDefault="008A4431" w:rsidP="008568E3">
            <w:r w:rsidRPr="00705916">
              <w:t>0.2277</w:t>
            </w:r>
          </w:p>
        </w:tc>
        <w:tc>
          <w:tcPr>
            <w:tcW w:w="1453" w:type="dxa"/>
            <w:vAlign w:val="center"/>
          </w:tcPr>
          <w:p w14:paraId="25E4DD97" w14:textId="77777777" w:rsidR="008A4431" w:rsidRPr="00705916" w:rsidRDefault="008A4431" w:rsidP="008568E3">
            <w:r w:rsidRPr="00705916">
              <w:t>0.3001</w:t>
            </w:r>
          </w:p>
        </w:tc>
        <w:tc>
          <w:tcPr>
            <w:tcW w:w="1274" w:type="dxa"/>
            <w:vAlign w:val="center"/>
          </w:tcPr>
          <w:p w14:paraId="5815AF17" w14:textId="77777777" w:rsidR="008A4431" w:rsidRPr="00705916" w:rsidRDefault="008A4431" w:rsidP="008568E3">
            <w:r w:rsidRPr="00705916">
              <w:t>0.3002</w:t>
            </w:r>
          </w:p>
        </w:tc>
      </w:tr>
      <w:tr w:rsidR="008A4431" w:rsidRPr="00705916" w14:paraId="67F9EBDA" w14:textId="77777777" w:rsidTr="00C55B67">
        <w:trPr>
          <w:trHeight w:val="300"/>
        </w:trPr>
        <w:tc>
          <w:tcPr>
            <w:tcW w:w="929" w:type="dxa"/>
            <w:vMerge/>
          </w:tcPr>
          <w:p w14:paraId="168FDDB4" w14:textId="77777777" w:rsidR="008A4431" w:rsidRPr="00705916" w:rsidRDefault="008A4431" w:rsidP="008568E3"/>
        </w:tc>
        <w:tc>
          <w:tcPr>
            <w:tcW w:w="1427" w:type="dxa"/>
          </w:tcPr>
          <w:p w14:paraId="2838F651" w14:textId="77777777" w:rsidR="008A4431" w:rsidRPr="00705916" w:rsidRDefault="008A4431" w:rsidP="008568E3">
            <w:r w:rsidRPr="00705916">
              <w:t>Bathymetry-DEM</w:t>
            </w:r>
          </w:p>
        </w:tc>
        <w:tc>
          <w:tcPr>
            <w:tcW w:w="1203" w:type="dxa"/>
            <w:vAlign w:val="center"/>
          </w:tcPr>
          <w:p w14:paraId="2C4E568C" w14:textId="77777777" w:rsidR="008A4431" w:rsidRPr="00705916" w:rsidRDefault="008A4431" w:rsidP="008568E3">
            <w:r w:rsidRPr="00705916">
              <w:t>20683</w:t>
            </w:r>
          </w:p>
        </w:tc>
        <w:tc>
          <w:tcPr>
            <w:tcW w:w="1363" w:type="dxa"/>
            <w:vAlign w:val="center"/>
          </w:tcPr>
          <w:p w14:paraId="545AF986" w14:textId="77777777" w:rsidR="008A4431" w:rsidRPr="00705916" w:rsidRDefault="008A4431" w:rsidP="008568E3">
            <w:r w:rsidRPr="00705916">
              <w:t>-0.0138</w:t>
            </w:r>
          </w:p>
        </w:tc>
        <w:tc>
          <w:tcPr>
            <w:tcW w:w="1367" w:type="dxa"/>
            <w:vAlign w:val="center"/>
          </w:tcPr>
          <w:p w14:paraId="41235A27" w14:textId="77777777" w:rsidR="008A4431" w:rsidRPr="00705916" w:rsidRDefault="008A4431" w:rsidP="008568E3">
            <w:r w:rsidRPr="00705916">
              <w:t>0.1614</w:t>
            </w:r>
          </w:p>
        </w:tc>
        <w:tc>
          <w:tcPr>
            <w:tcW w:w="1453" w:type="dxa"/>
            <w:vAlign w:val="center"/>
          </w:tcPr>
          <w:p w14:paraId="04466728" w14:textId="77777777" w:rsidR="008A4431" w:rsidRPr="00705916" w:rsidRDefault="008A4431" w:rsidP="008568E3">
            <w:r w:rsidRPr="00705916">
              <w:t>0.2497</w:t>
            </w:r>
          </w:p>
        </w:tc>
        <w:tc>
          <w:tcPr>
            <w:tcW w:w="1274" w:type="dxa"/>
            <w:vAlign w:val="center"/>
          </w:tcPr>
          <w:p w14:paraId="1BF02CF8" w14:textId="77777777" w:rsidR="008A4431" w:rsidRPr="00705916" w:rsidRDefault="008A4431" w:rsidP="008568E3">
            <w:r w:rsidRPr="00705916">
              <w:t>0.2501</w:t>
            </w:r>
          </w:p>
        </w:tc>
      </w:tr>
      <w:tr w:rsidR="008A4431" w:rsidRPr="00705916" w14:paraId="7478D28F" w14:textId="77777777" w:rsidTr="00C55B67">
        <w:trPr>
          <w:trHeight w:val="300"/>
        </w:trPr>
        <w:tc>
          <w:tcPr>
            <w:tcW w:w="929" w:type="dxa"/>
            <w:vMerge w:val="restart"/>
          </w:tcPr>
          <w:p w14:paraId="79D9E827" w14:textId="77777777" w:rsidR="008A4431" w:rsidRPr="00705916" w:rsidRDefault="008A4431" w:rsidP="008568E3">
            <w:r w:rsidRPr="00705916">
              <w:t>2020</w:t>
            </w:r>
          </w:p>
        </w:tc>
        <w:tc>
          <w:tcPr>
            <w:tcW w:w="1427" w:type="dxa"/>
          </w:tcPr>
          <w:p w14:paraId="37AC17D4" w14:textId="77777777" w:rsidR="008A4431" w:rsidRPr="00705916" w:rsidRDefault="008A4431" w:rsidP="008568E3">
            <w:r w:rsidRPr="00705916">
              <w:t>LiDAR-DEM</w:t>
            </w:r>
          </w:p>
        </w:tc>
        <w:tc>
          <w:tcPr>
            <w:tcW w:w="1203" w:type="dxa"/>
            <w:vAlign w:val="center"/>
          </w:tcPr>
          <w:p w14:paraId="601AFD00" w14:textId="77777777" w:rsidR="008A4431" w:rsidRPr="00705916" w:rsidRDefault="008A4431" w:rsidP="008568E3">
            <w:r w:rsidRPr="00705916">
              <w:t>11393</w:t>
            </w:r>
          </w:p>
        </w:tc>
        <w:tc>
          <w:tcPr>
            <w:tcW w:w="1363" w:type="dxa"/>
            <w:vAlign w:val="center"/>
          </w:tcPr>
          <w:p w14:paraId="0668D2CD" w14:textId="77777777" w:rsidR="008A4431" w:rsidRPr="00705916" w:rsidRDefault="008A4431" w:rsidP="008568E3">
            <w:r w:rsidRPr="00705916">
              <w:t>0.0236</w:t>
            </w:r>
          </w:p>
        </w:tc>
        <w:tc>
          <w:tcPr>
            <w:tcW w:w="1367" w:type="dxa"/>
            <w:vAlign w:val="center"/>
          </w:tcPr>
          <w:p w14:paraId="7E6BC83A" w14:textId="77777777" w:rsidR="008A4431" w:rsidRPr="00705916" w:rsidRDefault="008A4431" w:rsidP="008568E3">
            <w:r w:rsidRPr="00705916">
              <w:t>0.0366</w:t>
            </w:r>
          </w:p>
        </w:tc>
        <w:tc>
          <w:tcPr>
            <w:tcW w:w="1453" w:type="dxa"/>
            <w:vAlign w:val="center"/>
          </w:tcPr>
          <w:p w14:paraId="07ED5D66" w14:textId="77777777" w:rsidR="008A4431" w:rsidRPr="00705916" w:rsidRDefault="008A4431" w:rsidP="008568E3">
            <w:r w:rsidRPr="00705916">
              <w:t>0.0545</w:t>
            </w:r>
          </w:p>
        </w:tc>
        <w:tc>
          <w:tcPr>
            <w:tcW w:w="1274" w:type="dxa"/>
            <w:vAlign w:val="center"/>
          </w:tcPr>
          <w:p w14:paraId="3824BD24" w14:textId="77777777" w:rsidR="008A4431" w:rsidRPr="00705916" w:rsidRDefault="008A4431" w:rsidP="008568E3">
            <w:r w:rsidRPr="00705916">
              <w:t>0.0594</w:t>
            </w:r>
          </w:p>
        </w:tc>
      </w:tr>
      <w:tr w:rsidR="008A4431" w:rsidRPr="00705916" w14:paraId="231ED2FE" w14:textId="77777777" w:rsidTr="00C55B67">
        <w:trPr>
          <w:trHeight w:val="300"/>
        </w:trPr>
        <w:tc>
          <w:tcPr>
            <w:tcW w:w="929" w:type="dxa"/>
            <w:vMerge/>
          </w:tcPr>
          <w:p w14:paraId="5A32B8E6" w14:textId="77777777" w:rsidR="008A4431" w:rsidRPr="00705916" w:rsidRDefault="008A4431" w:rsidP="008568E3"/>
        </w:tc>
        <w:tc>
          <w:tcPr>
            <w:tcW w:w="1427" w:type="dxa"/>
          </w:tcPr>
          <w:p w14:paraId="66EC409F" w14:textId="77777777" w:rsidR="008A4431" w:rsidRPr="00705916" w:rsidRDefault="008A4431" w:rsidP="008568E3">
            <w:r w:rsidRPr="00705916">
              <w:t>OEM-DEM</w:t>
            </w:r>
          </w:p>
        </w:tc>
        <w:tc>
          <w:tcPr>
            <w:tcW w:w="1203" w:type="dxa"/>
            <w:vAlign w:val="center"/>
          </w:tcPr>
          <w:p w14:paraId="1077F147" w14:textId="77777777" w:rsidR="008A4431" w:rsidRPr="00705916" w:rsidRDefault="008A4431" w:rsidP="008568E3">
            <w:r w:rsidRPr="00705916">
              <w:rPr>
                <w:lang w:eastAsia="en-GB"/>
              </w:rPr>
              <w:t>21882</w:t>
            </w:r>
          </w:p>
        </w:tc>
        <w:tc>
          <w:tcPr>
            <w:tcW w:w="1363" w:type="dxa"/>
            <w:vAlign w:val="center"/>
          </w:tcPr>
          <w:p w14:paraId="646FD847" w14:textId="77777777" w:rsidR="008A4431" w:rsidRPr="00705916" w:rsidRDefault="008A4431" w:rsidP="008568E3">
            <w:r w:rsidRPr="00705916">
              <w:t>-0.0121</w:t>
            </w:r>
          </w:p>
        </w:tc>
        <w:tc>
          <w:tcPr>
            <w:tcW w:w="1367" w:type="dxa"/>
            <w:vAlign w:val="center"/>
          </w:tcPr>
          <w:p w14:paraId="31C9116E" w14:textId="77777777" w:rsidR="008A4431" w:rsidRPr="00705916" w:rsidRDefault="008A4431" w:rsidP="008568E3">
            <w:r w:rsidRPr="00705916">
              <w:t>0.2073</w:t>
            </w:r>
          </w:p>
        </w:tc>
        <w:tc>
          <w:tcPr>
            <w:tcW w:w="1453" w:type="dxa"/>
            <w:vAlign w:val="center"/>
          </w:tcPr>
          <w:p w14:paraId="09AE898C" w14:textId="77777777" w:rsidR="008A4431" w:rsidRPr="00705916" w:rsidRDefault="008A4431" w:rsidP="008568E3">
            <w:r w:rsidRPr="00705916">
              <w:t>0.2961</w:t>
            </w:r>
          </w:p>
        </w:tc>
        <w:tc>
          <w:tcPr>
            <w:tcW w:w="1274" w:type="dxa"/>
            <w:vAlign w:val="center"/>
          </w:tcPr>
          <w:p w14:paraId="07DF7882" w14:textId="77777777" w:rsidR="008A4431" w:rsidRPr="00705916" w:rsidRDefault="008A4431" w:rsidP="008568E3">
            <w:r w:rsidRPr="00705916">
              <w:t>0.2963</w:t>
            </w:r>
          </w:p>
        </w:tc>
      </w:tr>
      <w:tr w:rsidR="008A4431" w:rsidRPr="00705916" w14:paraId="2ED17F45" w14:textId="77777777" w:rsidTr="00C55B67">
        <w:trPr>
          <w:trHeight w:val="300"/>
        </w:trPr>
        <w:tc>
          <w:tcPr>
            <w:tcW w:w="929" w:type="dxa"/>
            <w:vMerge/>
          </w:tcPr>
          <w:p w14:paraId="709123DA" w14:textId="77777777" w:rsidR="008A4431" w:rsidRPr="00705916" w:rsidRDefault="008A4431" w:rsidP="008568E3"/>
        </w:tc>
        <w:tc>
          <w:tcPr>
            <w:tcW w:w="1427" w:type="dxa"/>
          </w:tcPr>
          <w:p w14:paraId="0B194A46" w14:textId="77777777" w:rsidR="008A4431" w:rsidRPr="00705916" w:rsidRDefault="008A4431" w:rsidP="008568E3">
            <w:r w:rsidRPr="00705916">
              <w:t>Bathymetry-DEM</w:t>
            </w:r>
          </w:p>
        </w:tc>
        <w:tc>
          <w:tcPr>
            <w:tcW w:w="1203" w:type="dxa"/>
            <w:vAlign w:val="center"/>
          </w:tcPr>
          <w:p w14:paraId="64431E71" w14:textId="77777777" w:rsidR="008A4431" w:rsidRPr="00705916" w:rsidRDefault="008A4431" w:rsidP="008568E3">
            <w:r w:rsidRPr="00705916">
              <w:rPr>
                <w:lang w:eastAsia="en-GB"/>
              </w:rPr>
              <w:t>40572</w:t>
            </w:r>
          </w:p>
        </w:tc>
        <w:tc>
          <w:tcPr>
            <w:tcW w:w="1363" w:type="dxa"/>
            <w:vAlign w:val="center"/>
          </w:tcPr>
          <w:p w14:paraId="7DF3CC09" w14:textId="77777777" w:rsidR="008A4431" w:rsidRPr="00705916" w:rsidRDefault="008A4431" w:rsidP="008568E3">
            <w:r w:rsidRPr="00705916">
              <w:t>-0.0351</w:t>
            </w:r>
          </w:p>
        </w:tc>
        <w:tc>
          <w:tcPr>
            <w:tcW w:w="1367" w:type="dxa"/>
            <w:vAlign w:val="center"/>
          </w:tcPr>
          <w:p w14:paraId="0CE76032" w14:textId="77777777" w:rsidR="008A4431" w:rsidRPr="00705916" w:rsidRDefault="008A4431" w:rsidP="008568E3">
            <w:r w:rsidRPr="00705916">
              <w:t>0.1667</w:t>
            </w:r>
          </w:p>
        </w:tc>
        <w:tc>
          <w:tcPr>
            <w:tcW w:w="1453" w:type="dxa"/>
            <w:vAlign w:val="center"/>
          </w:tcPr>
          <w:p w14:paraId="2362196F" w14:textId="77777777" w:rsidR="008A4431" w:rsidRPr="00705916" w:rsidRDefault="008A4431" w:rsidP="008568E3">
            <w:r w:rsidRPr="00705916">
              <w:t>0.2783</w:t>
            </w:r>
          </w:p>
        </w:tc>
        <w:tc>
          <w:tcPr>
            <w:tcW w:w="1274" w:type="dxa"/>
            <w:vAlign w:val="center"/>
          </w:tcPr>
          <w:p w14:paraId="057684CE" w14:textId="77777777" w:rsidR="008A4431" w:rsidRPr="00705916" w:rsidRDefault="008A4431" w:rsidP="008568E3">
            <w:r w:rsidRPr="00705916">
              <w:t>0.2815</w:t>
            </w:r>
          </w:p>
        </w:tc>
      </w:tr>
    </w:tbl>
    <w:p w14:paraId="360C48E4" w14:textId="3D555660" w:rsidR="008A4431" w:rsidRPr="00705916" w:rsidRDefault="008A4431" w:rsidP="008568E3">
      <w:r w:rsidRPr="00705916">
        <w:t xml:space="preserve"> Table 1: Errors associated with different survey techniques against validation data for the 2019 DEM and 2020 DEM.</w:t>
      </w:r>
    </w:p>
    <w:p w14:paraId="3089479F" w14:textId="77777777" w:rsidR="008A4431" w:rsidRPr="00705916" w:rsidRDefault="008A4431" w:rsidP="008568E3"/>
    <w:p w14:paraId="7E06F7D1" w14:textId="648C4EF3" w:rsidR="009421F6" w:rsidRPr="008568E3" w:rsidRDefault="009421F6" w:rsidP="008568E3">
      <w:pPr>
        <w:rPr>
          <w:b/>
          <w:bCs/>
        </w:rPr>
      </w:pPr>
      <w:proofErr w:type="spellStart"/>
      <w:r w:rsidRPr="008568E3">
        <w:rPr>
          <w:b/>
          <w:bCs/>
        </w:rPr>
        <w:t>Bislak</w:t>
      </w:r>
      <w:proofErr w:type="spellEnd"/>
      <w:r w:rsidRPr="008568E3">
        <w:rPr>
          <w:b/>
          <w:bCs/>
        </w:rPr>
        <w:t xml:space="preserve"> River Depth, Velocity, and Shear stress </w:t>
      </w:r>
      <w:proofErr w:type="spellStart"/>
      <w:r w:rsidRPr="008568E3">
        <w:rPr>
          <w:b/>
          <w:bCs/>
        </w:rPr>
        <w:t>rasters</w:t>
      </w:r>
      <w:proofErr w:type="spellEnd"/>
      <w:r w:rsidRPr="008568E3">
        <w:rPr>
          <w:b/>
          <w:bCs/>
        </w:rPr>
        <w:t xml:space="preserve"> </w:t>
      </w:r>
    </w:p>
    <w:p w14:paraId="2DB376E4" w14:textId="35974C26" w:rsidR="00C910A4" w:rsidRPr="00473F0E" w:rsidRDefault="00C910A4" w:rsidP="008568E3">
      <w:r w:rsidRPr="00473F0E">
        <w:t>Data type:.</w:t>
      </w:r>
      <w:proofErr w:type="spellStart"/>
      <w:r w:rsidRPr="00473F0E">
        <w:t>tif</w:t>
      </w:r>
      <w:proofErr w:type="spellEnd"/>
    </w:p>
    <w:p w14:paraId="1D80F78A" w14:textId="4CF23719" w:rsidR="00A84DBC" w:rsidRPr="00A84DBC" w:rsidRDefault="00A84DBC" w:rsidP="008568E3">
      <w:pPr>
        <w:rPr>
          <w:b/>
          <w:bCs/>
          <w:u w:val="single"/>
        </w:rPr>
      </w:pPr>
      <w:r w:rsidRPr="001472DA">
        <w:rPr>
          <w:b/>
          <w:bCs/>
        </w:rPr>
        <w:t>Units:</w:t>
      </w:r>
      <w:r w:rsidRPr="00A84DBC">
        <w:rPr>
          <w:b/>
          <w:bCs/>
        </w:rPr>
        <w:t xml:space="preserve"> </w:t>
      </w:r>
      <w:r>
        <w:t>Depth (m), Velocity (</w:t>
      </w:r>
      <w:r w:rsidRPr="00A84DBC">
        <w:t> m s</w:t>
      </w:r>
      <w:r w:rsidRPr="00A84DBC">
        <w:rPr>
          <w:rFonts w:ascii="Cambria Math" w:hAnsi="Cambria Math" w:cs="Cambria Math"/>
        </w:rPr>
        <w:t>⁻</w:t>
      </w:r>
      <w:r w:rsidRPr="00A84DBC">
        <w:t>¹</w:t>
      </w:r>
      <w:r>
        <w:t>), Shear stress (Nm</w:t>
      </w:r>
      <w:r w:rsidRPr="00A84DBC">
        <w:rPr>
          <w:vertAlign w:val="superscript"/>
        </w:rPr>
        <w:t>-2</w:t>
      </w:r>
      <w:r>
        <w:t>)</w:t>
      </w:r>
    </w:p>
    <w:p w14:paraId="128EBF54" w14:textId="160DB45F" w:rsidR="00C910A4" w:rsidRPr="00705916" w:rsidRDefault="00705916" w:rsidP="008568E3">
      <w:r w:rsidRPr="00705916">
        <w:t>G</w:t>
      </w:r>
      <w:r w:rsidR="00C910A4" w:rsidRPr="00705916">
        <w:t>eneration method:</w:t>
      </w:r>
    </w:p>
    <w:p w14:paraId="7739DA87" w14:textId="2B5981B4" w:rsidR="00C910A4" w:rsidRPr="00705916" w:rsidRDefault="00C910A4" w:rsidP="008568E3">
      <w:r w:rsidRPr="486929B9">
        <w:t>HEC-RAS 2D software was used to predict inundation patterns</w:t>
      </w:r>
      <w:r w:rsidR="00A84DBC" w:rsidRPr="486929B9">
        <w:t xml:space="preserve"> (depth, velocity, shear stress)</w:t>
      </w:r>
      <w:r w:rsidRPr="486929B9">
        <w:t>. To represent the topographic complexity of the model domain, a 2D grid cell size of 3</w:t>
      </w:r>
      <w:r w:rsidR="3F1D4E21" w:rsidRPr="486929B9">
        <w:t xml:space="preserve"> </w:t>
      </w:r>
      <w:r w:rsidRPr="486929B9">
        <w:t>m was used in the active channel, with 5</w:t>
      </w:r>
      <w:r w:rsidR="1DAC47CD" w:rsidRPr="486929B9">
        <w:t xml:space="preserve"> </w:t>
      </w:r>
      <w:r w:rsidRPr="486929B9">
        <w:t xml:space="preserve">m cells on the floodplain. Manning’s roughness was uniformly set to 0.05 based on calibration with an observed flood event (Typhoon Ineng). </w:t>
      </w:r>
      <w:r w:rsidR="04975307" w:rsidRPr="486929B9">
        <w:t xml:space="preserve">The </w:t>
      </w:r>
      <w:r w:rsidR="00D150CA" w:rsidRPr="486929B9">
        <w:t xml:space="preserve">Typhoon Ineng calibration dataset can be found at: </w:t>
      </w:r>
      <w:r w:rsidR="4BEFCAB5" w:rsidRPr="486929B9">
        <w:rPr>
          <w:rStyle w:val="Hyperlink"/>
          <w:rFonts w:ascii="Arial" w:hAnsi="Arial" w:cs="Arial"/>
        </w:rPr>
        <w:t xml:space="preserve"> https://researchdata.gla.ac.uk/1781/</w:t>
      </w:r>
      <w:r w:rsidR="00D150CA" w:rsidRPr="486929B9">
        <w:t xml:space="preserve">. </w:t>
      </w:r>
      <w:r w:rsidRPr="486929B9">
        <w:t xml:space="preserve">Hydrographs were specified as the input boundary condition, with the downstream boundary set to the normal depth. For 2D modelling of gradually varied flows, the full St </w:t>
      </w:r>
      <w:proofErr w:type="spellStart"/>
      <w:r w:rsidRPr="486929B9">
        <w:t>Venant</w:t>
      </w:r>
      <w:proofErr w:type="spellEnd"/>
      <w:r w:rsidRPr="486929B9">
        <w:t xml:space="preserve"> shallow water equations were used. The unsteady flow function in HEC-RAS was applied to simulate a hydrograph that was ramped up to the desired discharge over 10 hours of simulation time and then run for a further 14 hours at a constant discharge to achieve a steady state. Flood events with return intervals of 10-, 50-, and 100-years</w:t>
      </w:r>
      <w:r w:rsidR="00705916" w:rsidRPr="486929B9">
        <w:t xml:space="preserve"> </w:t>
      </w:r>
      <w:r w:rsidRPr="486929B9">
        <w:t xml:space="preserve">were simulated across both the 2019 and 2020 </w:t>
      </w:r>
      <w:proofErr w:type="spellStart"/>
      <w:r w:rsidRPr="486929B9">
        <w:t>Bislak</w:t>
      </w:r>
      <w:proofErr w:type="spellEnd"/>
      <w:r w:rsidRPr="486929B9">
        <w:t xml:space="preserve"> DEMs</w:t>
      </w:r>
      <w:r w:rsidR="66E688C8" w:rsidRPr="486929B9">
        <w:t xml:space="preserve"> (Quick et al., 2025)</w:t>
      </w:r>
      <w:r w:rsidRPr="486929B9">
        <w:t>. Water depth (&gt;100 mm), velocity, and shear stress predictions were exported.</w:t>
      </w:r>
    </w:p>
    <w:p w14:paraId="1F2232E3" w14:textId="08ABC68E" w:rsidR="009421F6" w:rsidRDefault="009421F6" w:rsidP="00B87AB8"/>
    <w:p w14:paraId="25C2809F" w14:textId="71056F6D" w:rsidR="00A84DBC" w:rsidRPr="008568E3" w:rsidRDefault="00A84DBC" w:rsidP="00B87AB8">
      <w:pPr>
        <w:rPr>
          <w:b/>
          <w:bCs/>
        </w:rPr>
      </w:pPr>
      <w:bookmarkStart w:id="0" w:name="_Hlk186977234"/>
      <w:proofErr w:type="spellStart"/>
      <w:r w:rsidRPr="008568E3">
        <w:rPr>
          <w:b/>
          <w:bCs/>
        </w:rPr>
        <w:t>Bislak</w:t>
      </w:r>
      <w:proofErr w:type="spellEnd"/>
      <w:r w:rsidRPr="008568E3">
        <w:rPr>
          <w:b/>
          <w:bCs/>
        </w:rPr>
        <w:t xml:space="preserve"> River Geomorphic </w:t>
      </w:r>
      <w:r w:rsidR="37476DF9" w:rsidRPr="008568E3">
        <w:rPr>
          <w:b/>
          <w:bCs/>
        </w:rPr>
        <w:t>C</w:t>
      </w:r>
      <w:r w:rsidRPr="008568E3">
        <w:rPr>
          <w:b/>
          <w:bCs/>
        </w:rPr>
        <w:t xml:space="preserve">hange </w:t>
      </w:r>
      <w:r w:rsidR="4892BB6C" w:rsidRPr="008568E3">
        <w:rPr>
          <w:b/>
          <w:bCs/>
        </w:rPr>
        <w:t>D</w:t>
      </w:r>
      <w:r w:rsidRPr="008568E3">
        <w:rPr>
          <w:b/>
          <w:bCs/>
        </w:rPr>
        <w:t xml:space="preserve">etection </w:t>
      </w:r>
      <w:r w:rsidR="59357875" w:rsidRPr="008568E3">
        <w:rPr>
          <w:b/>
          <w:bCs/>
        </w:rPr>
        <w:t xml:space="preserve">(GCD) </w:t>
      </w:r>
      <w:proofErr w:type="spellStart"/>
      <w:r w:rsidRPr="008568E3">
        <w:rPr>
          <w:b/>
          <w:bCs/>
        </w:rPr>
        <w:t>rasters</w:t>
      </w:r>
      <w:proofErr w:type="spellEnd"/>
    </w:p>
    <w:bookmarkEnd w:id="0"/>
    <w:p w14:paraId="7F484887" w14:textId="08886D68" w:rsidR="00A84DBC" w:rsidRPr="00473F0E" w:rsidRDefault="00A84DBC" w:rsidP="008568E3">
      <w:r w:rsidRPr="00473F0E">
        <w:t>Data type:.</w:t>
      </w:r>
      <w:proofErr w:type="spellStart"/>
      <w:r w:rsidRPr="00473F0E">
        <w:t>tif</w:t>
      </w:r>
      <w:proofErr w:type="spellEnd"/>
    </w:p>
    <w:p w14:paraId="2C3A0B50" w14:textId="2E4B7852" w:rsidR="00A84DBC" w:rsidRDefault="001472DA" w:rsidP="00B87AB8">
      <w:r w:rsidRPr="001472DA">
        <w:t>Units:</w:t>
      </w:r>
      <w:r>
        <w:t xml:space="preserve"> </w:t>
      </w:r>
      <w:r w:rsidRPr="001472DA">
        <w:t>m</w:t>
      </w:r>
    </w:p>
    <w:p w14:paraId="76D75FF0" w14:textId="77777777" w:rsidR="001472DA" w:rsidRPr="00705916" w:rsidRDefault="001472DA" w:rsidP="008568E3">
      <w:r w:rsidRPr="00705916">
        <w:t>Generation method:</w:t>
      </w:r>
    </w:p>
    <w:p w14:paraId="041F37FB" w14:textId="08DDCE8F" w:rsidR="001472DA" w:rsidRPr="001472DA" w:rsidRDefault="001472DA" w:rsidP="00B87AB8">
      <w:r w:rsidRPr="486929B9">
        <w:lastRenderedPageBreak/>
        <w:t>GCD software was used to subtract two DEMs with consistent projections and datums to produce</w:t>
      </w:r>
      <w:r w:rsidR="7350935B" w:rsidRPr="486929B9">
        <w:t xml:space="preserve"> </w:t>
      </w:r>
      <w:r w:rsidRPr="486929B9">
        <w:t xml:space="preserve"> DEM</w:t>
      </w:r>
      <w:r w:rsidR="4DFAC79C" w:rsidRPr="486929B9">
        <w:t>s</w:t>
      </w:r>
      <w:r w:rsidRPr="486929B9">
        <w:t xml:space="preserve"> of Difference (DoD)</w:t>
      </w:r>
      <w:r w:rsidR="51DB607A" w:rsidRPr="486929B9">
        <w:t xml:space="preserve"> (Quick et al., 2025)</w:t>
      </w:r>
      <w:r w:rsidRPr="486929B9">
        <w:t xml:space="preserve">. To investigate geomorphic change for the </w:t>
      </w:r>
      <w:proofErr w:type="spellStart"/>
      <w:r w:rsidRPr="486929B9">
        <w:t>Bislak</w:t>
      </w:r>
      <w:proofErr w:type="spellEnd"/>
      <w:r w:rsidRPr="486929B9">
        <w:t xml:space="preserve"> River over a single (2019–2020) and multiple (2014–2019) years, the </w:t>
      </w:r>
      <w:proofErr w:type="spellStart"/>
      <w:r w:rsidRPr="486929B9">
        <w:t>Bislak</w:t>
      </w:r>
      <w:proofErr w:type="spellEnd"/>
      <w:r w:rsidR="00305EBB" w:rsidRPr="486929B9">
        <w:t xml:space="preserve"> </w:t>
      </w:r>
      <w:r w:rsidRPr="486929B9">
        <w:t>DEMs</w:t>
      </w:r>
      <w:r w:rsidR="00305EBB" w:rsidRPr="486929B9">
        <w:t xml:space="preserve"> </w:t>
      </w:r>
      <w:r w:rsidRPr="486929B9">
        <w:t>(2014, 2019, and 2020) were clipped to the active channel area. The active channel area was identified by scrutinising the 2014, 2019 and 2020 DEMs alongside high</w:t>
      </w:r>
      <w:r w:rsidR="00305EBB" w:rsidRPr="486929B9">
        <w:t xml:space="preserve"> </w:t>
      </w:r>
      <w:r w:rsidRPr="486929B9">
        <w:t>resolution corresponding satellite imagery (for 2014) and aerial imagery acquired at the same time as LiDAR</w:t>
      </w:r>
      <w:r w:rsidR="00305EBB" w:rsidRPr="486929B9">
        <w:t xml:space="preserve"> </w:t>
      </w:r>
      <w:r w:rsidRPr="486929B9">
        <w:t>(for 2019 and 2020)</w:t>
      </w:r>
      <w:r w:rsidR="00305EBB" w:rsidRPr="486929B9">
        <w:t xml:space="preserve"> (</w:t>
      </w:r>
      <w:r w:rsidR="00D150CA" w:rsidRPr="486929B9">
        <w:t>a</w:t>
      </w:r>
      <w:r w:rsidR="00305EBB" w:rsidRPr="486929B9">
        <w:t xml:space="preserve">ctive channel area can be found at: </w:t>
      </w:r>
      <w:r w:rsidR="03A9B1A6" w:rsidRPr="486929B9">
        <w:t xml:space="preserve"> https://researchdata.gla.ac.uk/1781/</w:t>
      </w:r>
      <w:r w:rsidRPr="486929B9">
        <w:t xml:space="preserve">. The </w:t>
      </w:r>
      <w:proofErr w:type="spellStart"/>
      <w:r w:rsidRPr="486929B9">
        <w:t>Bislak</w:t>
      </w:r>
      <w:proofErr w:type="spellEnd"/>
      <w:r w:rsidRPr="486929B9">
        <w:t xml:space="preserve"> DEMs were formed from a fusion of topographic data collected from different survey techniques (e.g. LiDAR, echo sounding and spectrally based depth</w:t>
      </w:r>
      <w:r w:rsidR="00305EBB" w:rsidRPr="486929B9">
        <w:t xml:space="preserve"> </w:t>
      </w:r>
      <w:r w:rsidRPr="486929B9">
        <w:t>mapping).</w:t>
      </w:r>
      <w:r w:rsidR="00D150CA" w:rsidRPr="486929B9">
        <w:t xml:space="preserve"> </w:t>
      </w:r>
      <w:r w:rsidRPr="486929B9">
        <w:t>Each survey technique has its own associated errors, which are often spatially autocorrelated. Errors in the different data sets may not be independent. For each DEM, an error</w:t>
      </w:r>
      <w:r w:rsidR="00305EBB" w:rsidRPr="486929B9">
        <w:t xml:space="preserve"> </w:t>
      </w:r>
      <w:r w:rsidRPr="486929B9">
        <w:t>mask</w:t>
      </w:r>
      <w:r w:rsidR="00305EBB" w:rsidRPr="486929B9">
        <w:t xml:space="preserve"> </w:t>
      </w:r>
      <w:r w:rsidRPr="486929B9">
        <w:t>was defined for each survey technique, and appropriate vertical errors were assigned from GNSS checkpoint observations (</w:t>
      </w:r>
      <w:r w:rsidR="00305EBB" w:rsidRPr="486929B9">
        <w:t>Table 1</w:t>
      </w:r>
      <w:r w:rsidRPr="486929B9">
        <w:t>)</w:t>
      </w:r>
      <w:r w:rsidR="0EA7EF78" w:rsidRPr="486929B9">
        <w:t xml:space="preserve">. The </w:t>
      </w:r>
      <w:r w:rsidR="47047BB0" w:rsidRPr="486929B9">
        <w:t>e</w:t>
      </w:r>
      <w:r w:rsidR="00520368" w:rsidRPr="486929B9">
        <w:t xml:space="preserve">rror mask can be found </w:t>
      </w:r>
      <w:proofErr w:type="gramStart"/>
      <w:r w:rsidR="00520368" w:rsidRPr="486929B9">
        <w:t xml:space="preserve">at </w:t>
      </w:r>
      <w:r w:rsidR="4E34AB10" w:rsidRPr="486929B9">
        <w:t xml:space="preserve"> https://researchdata.gla.ac.uk/1781/</w:t>
      </w:r>
      <w:proofErr w:type="gramEnd"/>
      <w:r w:rsidR="00E174DC">
        <w:t>.</w:t>
      </w:r>
      <w:r w:rsidRPr="486929B9">
        <w:t xml:space="preserve"> Geomorphic change detection was calculated using a probabilistic thresholding approach, which removed systematic bias through filtering elevation changes based on the confidence that the detected change is real (e.g. similar changes in elevation are observed in nearby cells</w:t>
      </w:r>
      <w:r w:rsidR="1107A651" w:rsidRPr="486929B9">
        <w:t xml:space="preserve">; </w:t>
      </w:r>
      <w:r w:rsidR="00305EBB" w:rsidRPr="486929B9">
        <w:t>Wheaton et al., 2010)</w:t>
      </w:r>
      <w:r w:rsidRPr="486929B9">
        <w:t>.</w:t>
      </w:r>
      <w:r w:rsidR="00520368" w:rsidRPr="486929B9">
        <w:t xml:space="preserve"> </w:t>
      </w:r>
      <w:r w:rsidR="00305EBB" w:rsidRPr="486929B9">
        <w:t>S</w:t>
      </w:r>
      <w:r w:rsidRPr="486929B9">
        <w:t>ediment budgets</w:t>
      </w:r>
      <w:r w:rsidR="00305EBB" w:rsidRPr="486929B9">
        <w:t xml:space="preserve"> were calculated</w:t>
      </w:r>
      <w:r w:rsidRPr="486929B9">
        <w:t xml:space="preserve"> using a confidence interval of 95%</w:t>
      </w:r>
      <w:r w:rsidR="00305EBB" w:rsidRPr="486929B9">
        <w:t xml:space="preserve">. </w:t>
      </w:r>
    </w:p>
    <w:p w14:paraId="3124CA33" w14:textId="77777777" w:rsidR="00705916" w:rsidRPr="008568E3" w:rsidRDefault="00705916" w:rsidP="00B87AB8">
      <w:pPr>
        <w:rPr>
          <w:b/>
          <w:bCs/>
        </w:rPr>
      </w:pPr>
      <w:proofErr w:type="spellStart"/>
      <w:r w:rsidRPr="008568E3">
        <w:rPr>
          <w:b/>
          <w:bCs/>
        </w:rPr>
        <w:t>Bislak</w:t>
      </w:r>
      <w:proofErr w:type="spellEnd"/>
      <w:r w:rsidRPr="008568E3">
        <w:rPr>
          <w:b/>
          <w:bCs/>
        </w:rPr>
        <w:t xml:space="preserve"> River Bedload transport rate </w:t>
      </w:r>
      <w:proofErr w:type="spellStart"/>
      <w:r w:rsidRPr="008568E3">
        <w:rPr>
          <w:b/>
          <w:bCs/>
        </w:rPr>
        <w:t>rasters</w:t>
      </w:r>
      <w:proofErr w:type="spellEnd"/>
    </w:p>
    <w:p w14:paraId="72260194" w14:textId="00FB5A90" w:rsidR="00DB4BCD" w:rsidRDefault="00DB4BCD" w:rsidP="008568E3">
      <w:r w:rsidRPr="00705916">
        <w:t>Data type:</w:t>
      </w:r>
      <w:r w:rsidRPr="00DF4317">
        <w:t>.</w:t>
      </w:r>
      <w:proofErr w:type="spellStart"/>
      <w:r w:rsidRPr="00DF4317">
        <w:t>tif</w:t>
      </w:r>
      <w:proofErr w:type="spellEnd"/>
    </w:p>
    <w:p w14:paraId="0BA3B8A9" w14:textId="0115F1BB" w:rsidR="001472DA" w:rsidRPr="00DF4317" w:rsidRDefault="001472DA" w:rsidP="008568E3">
      <w:r w:rsidRPr="001472DA">
        <w:t>Units:</w:t>
      </w:r>
      <w:r>
        <w:t xml:space="preserve"> g/s</w:t>
      </w:r>
      <w:r w:rsidRPr="001472DA">
        <w:rPr>
          <w:vertAlign w:val="superscript"/>
        </w:rPr>
        <w:t>1</w:t>
      </w:r>
    </w:p>
    <w:p w14:paraId="371772FE" w14:textId="77777777" w:rsidR="00DB4BCD" w:rsidRPr="00705916" w:rsidRDefault="00DB4BCD" w:rsidP="008568E3">
      <w:r w:rsidRPr="00705916">
        <w:t>Collection/generation methods:</w:t>
      </w:r>
    </w:p>
    <w:p w14:paraId="1BC5EBD7" w14:textId="6CED742D" w:rsidR="00DF4317" w:rsidRDefault="00DB4BCD" w:rsidP="00B87AB8">
      <w:proofErr w:type="spellStart"/>
      <w:r w:rsidRPr="486929B9">
        <w:t>Bislak</w:t>
      </w:r>
      <w:proofErr w:type="spellEnd"/>
      <w:r w:rsidRPr="486929B9">
        <w:t xml:space="preserve"> River Bedload transport rate </w:t>
      </w:r>
      <w:proofErr w:type="spellStart"/>
      <w:r w:rsidRPr="486929B9">
        <w:t>rasters</w:t>
      </w:r>
      <w:proofErr w:type="spellEnd"/>
      <w:r w:rsidRPr="486929B9">
        <w:t xml:space="preserve"> were generated using the </w:t>
      </w:r>
      <w:r w:rsidR="004641FF" w:rsidRPr="486929B9">
        <w:t>shear</w:t>
      </w:r>
      <w:r w:rsidR="00DF4317" w:rsidRPr="486929B9">
        <w:t xml:space="preserve"> </w:t>
      </w:r>
      <w:r w:rsidR="004641FF" w:rsidRPr="486929B9">
        <w:t xml:space="preserve">stress </w:t>
      </w:r>
      <w:proofErr w:type="spellStart"/>
      <w:r w:rsidR="004641FF" w:rsidRPr="486929B9">
        <w:t>rasters</w:t>
      </w:r>
      <w:proofErr w:type="spellEnd"/>
      <w:r w:rsidR="004641FF" w:rsidRPr="486929B9">
        <w:t xml:space="preserve"> exported from HECRAS.</w:t>
      </w:r>
      <w:r w:rsidR="001472DA" w:rsidRPr="486929B9">
        <w:t xml:space="preserve"> Shear stress </w:t>
      </w:r>
      <w:proofErr w:type="spellStart"/>
      <w:r w:rsidR="001472DA" w:rsidRPr="486929B9">
        <w:t>ratsers</w:t>
      </w:r>
      <w:proofErr w:type="spellEnd"/>
      <w:r w:rsidR="001472DA" w:rsidRPr="486929B9">
        <w:t xml:space="preserve"> were split into river morphology types (meandering, wandering, </w:t>
      </w:r>
      <w:r w:rsidR="00520368" w:rsidRPr="486929B9">
        <w:t>braided</w:t>
      </w:r>
      <w:r w:rsidR="001472DA" w:rsidRPr="486929B9">
        <w:t xml:space="preserve">, </w:t>
      </w:r>
      <w:r w:rsidR="00520368" w:rsidRPr="486929B9">
        <w:t>deltaic</w:t>
      </w:r>
      <w:r w:rsidR="001472DA" w:rsidRPr="486929B9">
        <w:t xml:space="preserve">). River morphology shape files for the </w:t>
      </w:r>
      <w:proofErr w:type="spellStart"/>
      <w:r w:rsidR="001472DA" w:rsidRPr="486929B9">
        <w:t>Bislak</w:t>
      </w:r>
      <w:proofErr w:type="spellEnd"/>
      <w:r w:rsidR="001472DA" w:rsidRPr="486929B9">
        <w:t xml:space="preserve"> River can be found </w:t>
      </w:r>
      <w:proofErr w:type="gramStart"/>
      <w:r w:rsidR="001472DA" w:rsidRPr="486929B9">
        <w:t xml:space="preserve">at </w:t>
      </w:r>
      <w:r w:rsidR="23CDD9AF" w:rsidRPr="486929B9">
        <w:t xml:space="preserve"> https://researchdata.gla.ac.uk/1781/.</w:t>
      </w:r>
      <w:r w:rsidR="001472DA" w:rsidRPr="486929B9">
        <w:t>.</w:t>
      </w:r>
      <w:proofErr w:type="gramEnd"/>
      <w:r w:rsidR="001472DA" w:rsidRPr="486929B9">
        <w:t xml:space="preserve"> </w:t>
      </w:r>
      <w:r w:rsidR="00DF4317" w:rsidRPr="486929B9">
        <w:t>Bedload transport rate calculations were preformed using raster calculator on ARC GIS.</w:t>
      </w:r>
    </w:p>
    <w:p w14:paraId="58537FE3" w14:textId="12F54E8C" w:rsidR="00705916" w:rsidRPr="00705916" w:rsidRDefault="00705916" w:rsidP="00B87AB8">
      <w:r w:rsidRPr="00705916">
        <w:rPr>
          <w:lang w:val="en-US"/>
        </w:rPr>
        <w:t xml:space="preserve">Unit bedload transport rate, </w:t>
      </w:r>
      <w:proofErr w:type="spellStart"/>
      <w:r w:rsidRPr="00705916">
        <w:rPr>
          <w:i/>
          <w:iCs/>
          <w:lang w:val="en-US"/>
        </w:rPr>
        <w:t>g</w:t>
      </w:r>
      <w:r w:rsidRPr="00705916">
        <w:rPr>
          <w:i/>
          <w:iCs/>
          <w:vertAlign w:val="subscript"/>
          <w:lang w:val="en-US"/>
        </w:rPr>
        <w:t>b</w:t>
      </w:r>
      <w:proofErr w:type="spellEnd"/>
      <w:r w:rsidRPr="00705916">
        <w:rPr>
          <w:lang w:val="en-US"/>
        </w:rPr>
        <w:t xml:space="preserve">, by mass was calculated using a </w:t>
      </w:r>
      <w:proofErr w:type="spellStart"/>
      <w:r w:rsidRPr="00705916">
        <w:rPr>
          <w:lang w:val="en-US"/>
        </w:rPr>
        <w:t>generalised</w:t>
      </w:r>
      <w:proofErr w:type="spellEnd"/>
      <w:r w:rsidRPr="00705916">
        <w:rPr>
          <w:lang w:val="en-US"/>
        </w:rPr>
        <w:t xml:space="preserve"> form of the </w:t>
      </w:r>
      <w:proofErr w:type="gramStart"/>
      <w:r w:rsidRPr="00705916">
        <w:rPr>
          <w:lang w:val="en-US"/>
        </w:rPr>
        <w:t>Meyer-Peter</w:t>
      </w:r>
      <w:proofErr w:type="gramEnd"/>
      <w:r w:rsidRPr="00705916">
        <w:rPr>
          <w:lang w:val="en-US"/>
        </w:rPr>
        <w:t xml:space="preserve"> and Müller relation:</w:t>
      </w:r>
      <w:r w:rsidRPr="00705916">
        <w:t> </w:t>
      </w:r>
    </w:p>
    <w:p w14:paraId="1C920CDB" w14:textId="08A9ADEE" w:rsidR="00705916" w:rsidRPr="00705916" w:rsidRDefault="00705916" w:rsidP="00B87AB8">
      <w:r w:rsidRPr="00705916">
        <w:t> </w:t>
      </w:r>
      <w:r w:rsidR="004641FF">
        <w:rPr>
          <w:noProof/>
          <w14:ligatures w14:val="standardContextual"/>
        </w:rPr>
        <w:drawing>
          <wp:inline distT="0" distB="0" distL="0" distR="0" wp14:anchorId="012B7B45" wp14:editId="1BF4E9AD">
            <wp:extent cx="2129790" cy="313206"/>
            <wp:effectExtent l="0" t="0" r="3810" b="0"/>
            <wp:docPr id="1318918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918582" name=""/>
                    <pic:cNvPicPr/>
                  </pic:nvPicPr>
                  <pic:blipFill>
                    <a:blip r:embed="rId8"/>
                    <a:stretch>
                      <a:fillRect/>
                    </a:stretch>
                  </pic:blipFill>
                  <pic:spPr>
                    <a:xfrm>
                      <a:off x="0" y="0"/>
                      <a:ext cx="2153370" cy="316674"/>
                    </a:xfrm>
                    <a:prstGeom prst="rect">
                      <a:avLst/>
                    </a:prstGeom>
                  </pic:spPr>
                </pic:pic>
              </a:graphicData>
            </a:graphic>
          </wp:inline>
        </w:drawing>
      </w:r>
      <w:r w:rsidR="007272D2">
        <w:t xml:space="preserve"> (1)</w:t>
      </w:r>
      <w:r w:rsidRPr="00705916">
        <w:t> </w:t>
      </w:r>
    </w:p>
    <w:p w14:paraId="71F9A6A5" w14:textId="189D2528" w:rsidR="00705916" w:rsidRPr="00705916" w:rsidRDefault="00705916" w:rsidP="00B87AB8">
      <w:r w:rsidRPr="00705916">
        <w:rPr>
          <w:lang w:val="en-US"/>
        </w:rPr>
        <w:t xml:space="preserve">where </w:t>
      </w:r>
      <w:r w:rsidRPr="00705916">
        <w:rPr>
          <w:i/>
          <w:iCs/>
          <w:lang w:val="en-US"/>
        </w:rPr>
        <w:t>τ</w:t>
      </w:r>
      <w:r w:rsidRPr="00705916">
        <w:rPr>
          <w:lang w:val="en-US"/>
        </w:rPr>
        <w:t xml:space="preserve"> is bed shear stress (N.m</w:t>
      </w:r>
      <w:r w:rsidRPr="00705916">
        <w:rPr>
          <w:vertAlign w:val="superscript"/>
          <w:lang w:val="en-US"/>
        </w:rPr>
        <w:t>-2</w:t>
      </w:r>
      <w:r w:rsidRPr="00705916">
        <w:rPr>
          <w:lang w:val="en-US"/>
        </w:rPr>
        <w:t xml:space="preserve">), </w:t>
      </w:r>
      <w:proofErr w:type="spellStart"/>
      <w:r w:rsidRPr="00705916">
        <w:rPr>
          <w:i/>
          <w:iCs/>
          <w:lang w:val="en-US"/>
        </w:rPr>
        <w:t>τ</w:t>
      </w:r>
      <w:r w:rsidRPr="00705916">
        <w:rPr>
          <w:i/>
          <w:iCs/>
          <w:vertAlign w:val="subscript"/>
          <w:lang w:val="en-US"/>
        </w:rPr>
        <w:t>c</w:t>
      </w:r>
      <w:proofErr w:type="spellEnd"/>
      <w:r w:rsidRPr="00705916">
        <w:rPr>
          <w:lang w:val="en-US"/>
        </w:rPr>
        <w:t xml:space="preserve"> </w:t>
      </w:r>
      <w:r w:rsidR="00E174DC">
        <w:rPr>
          <w:lang w:val="en-US"/>
        </w:rPr>
        <w:t xml:space="preserve">is </w:t>
      </w:r>
      <w:r w:rsidRPr="00705916">
        <w:rPr>
          <w:lang w:val="en-US"/>
        </w:rPr>
        <w:t>critical shear stress (N.m</w:t>
      </w:r>
      <w:r w:rsidRPr="00705916">
        <w:rPr>
          <w:vertAlign w:val="superscript"/>
          <w:lang w:val="en-US"/>
        </w:rPr>
        <w:t>-2</w:t>
      </w:r>
      <w:r w:rsidRPr="00705916">
        <w:rPr>
          <w:lang w:val="en-US"/>
        </w:rPr>
        <w:t xml:space="preserve">), </w:t>
      </w:r>
      <w:r w:rsidRPr="00705916">
        <w:rPr>
          <w:i/>
          <w:iCs/>
          <w:lang w:val="en-US"/>
        </w:rPr>
        <w:t>g</w:t>
      </w:r>
      <w:r w:rsidRPr="00705916">
        <w:rPr>
          <w:lang w:val="en-US"/>
        </w:rPr>
        <w:t xml:space="preserve"> is acceleration due to gravity (m.s</w:t>
      </w:r>
      <w:r w:rsidRPr="00705916">
        <w:rPr>
          <w:vertAlign w:val="superscript"/>
          <w:lang w:val="en-US"/>
        </w:rPr>
        <w:t>-2</w:t>
      </w:r>
      <w:r w:rsidRPr="00705916">
        <w:rPr>
          <w:lang w:val="en-US"/>
        </w:rPr>
        <w:t xml:space="preserve">), </w:t>
      </w:r>
      <w:r w:rsidRPr="00705916">
        <w:rPr>
          <w:rFonts w:ascii="Cambria Math" w:hAnsi="Cambria Math" w:cs="Cambria Math"/>
          <w:lang w:val="en-US"/>
        </w:rPr>
        <w:t>𝜌</w:t>
      </w:r>
      <w:r w:rsidRPr="00705916">
        <w:rPr>
          <w:lang w:val="en-US"/>
        </w:rPr>
        <w:t xml:space="preserve"> is the density of water (kg.m</w:t>
      </w:r>
      <w:r w:rsidRPr="00705916">
        <w:rPr>
          <w:vertAlign w:val="superscript"/>
          <w:lang w:val="en-US"/>
        </w:rPr>
        <w:t>-3</w:t>
      </w:r>
      <w:r w:rsidRPr="00705916">
        <w:rPr>
          <w:lang w:val="en-US"/>
        </w:rPr>
        <w:t xml:space="preserve">) and </w:t>
      </w:r>
      <w:r w:rsidRPr="00705916">
        <w:rPr>
          <w:rFonts w:ascii="Cambria Math" w:hAnsi="Cambria Math" w:cs="Cambria Math"/>
          <w:lang w:val="en-US"/>
        </w:rPr>
        <w:t>𝑅</w:t>
      </w:r>
      <w:r w:rsidRPr="00705916">
        <w:rPr>
          <w:lang w:val="en-US"/>
        </w:rPr>
        <w:t xml:space="preserve"> is the hydraulic radius (m). </w:t>
      </w:r>
      <w:r w:rsidRPr="00705916">
        <w:rPr>
          <w:i/>
          <w:iCs/>
          <w:lang w:val="en-US"/>
        </w:rPr>
        <w:t xml:space="preserve">R </w:t>
      </w:r>
      <w:r w:rsidRPr="00705916">
        <w:rPr>
          <w:lang w:val="en-US"/>
        </w:rPr>
        <w:t xml:space="preserve">is calculated as </w:t>
      </w:r>
      <w:r w:rsidRPr="00705916">
        <w:rPr>
          <w:i/>
          <w:iCs/>
          <w:lang w:val="en-US"/>
        </w:rPr>
        <w:t>A</w:t>
      </w:r>
      <w:r w:rsidRPr="00705916">
        <w:rPr>
          <w:lang w:val="en-US"/>
        </w:rPr>
        <w:t>/</w:t>
      </w:r>
      <w:r w:rsidRPr="00705916">
        <w:rPr>
          <w:i/>
          <w:iCs/>
          <w:lang w:val="en-US"/>
        </w:rPr>
        <w:t>P</w:t>
      </w:r>
      <w:r w:rsidRPr="00705916">
        <w:rPr>
          <w:lang w:val="en-US"/>
        </w:rPr>
        <w:t xml:space="preserve">, where </w:t>
      </w:r>
      <w:r w:rsidRPr="00705916">
        <w:rPr>
          <w:i/>
          <w:iCs/>
          <w:lang w:val="en-US"/>
        </w:rPr>
        <w:t>A</w:t>
      </w:r>
      <w:r w:rsidRPr="00705916">
        <w:rPr>
          <w:lang w:val="en-US"/>
        </w:rPr>
        <w:t xml:space="preserve"> is wetted area (m</w:t>
      </w:r>
      <w:r w:rsidRPr="00705916">
        <w:rPr>
          <w:vertAlign w:val="superscript"/>
          <w:lang w:val="en-US"/>
        </w:rPr>
        <w:t>2</w:t>
      </w:r>
      <w:proofErr w:type="gramStart"/>
      <w:r w:rsidRPr="00705916">
        <w:rPr>
          <w:lang w:val="en-US"/>
        </w:rPr>
        <w:t>)</w:t>
      </w:r>
      <w:proofErr w:type="gramEnd"/>
      <w:r w:rsidRPr="00705916">
        <w:rPr>
          <w:lang w:val="en-US"/>
        </w:rPr>
        <w:t xml:space="preserve"> and </w:t>
      </w:r>
      <w:r w:rsidRPr="00705916">
        <w:rPr>
          <w:i/>
          <w:iCs/>
          <w:lang w:val="en-US"/>
        </w:rPr>
        <w:t>P</w:t>
      </w:r>
      <w:r w:rsidRPr="00705916">
        <w:rPr>
          <w:lang w:val="en-US"/>
        </w:rPr>
        <w:t xml:space="preserve"> is wetted perimeter (m) of a grid cell face. </w:t>
      </w:r>
      <w:r w:rsidRPr="00705916">
        <w:rPr>
          <w:i/>
          <w:iCs/>
          <w:lang w:val="en-US"/>
        </w:rPr>
        <w:t>S</w:t>
      </w:r>
      <w:r w:rsidRPr="00705916">
        <w:rPr>
          <w:lang w:val="en-US"/>
        </w:rPr>
        <w:t xml:space="preserve"> is the slope of the energy grade line (m/m), calculated between the </w:t>
      </w:r>
      <w:proofErr w:type="spellStart"/>
      <w:r w:rsidRPr="00705916">
        <w:rPr>
          <w:lang w:val="en-US"/>
        </w:rPr>
        <w:t>centres</w:t>
      </w:r>
      <w:proofErr w:type="spellEnd"/>
      <w:r w:rsidRPr="00705916">
        <w:rPr>
          <w:lang w:val="en-US"/>
        </w:rPr>
        <w:t xml:space="preserve"> of adjacent downstream cells. The constant </w:t>
      </w:r>
      <w:r w:rsidRPr="00705916">
        <w:rPr>
          <w:i/>
          <w:iCs/>
          <w:lang w:val="en-US"/>
        </w:rPr>
        <w:t xml:space="preserve">c </w:t>
      </w:r>
      <w:r w:rsidRPr="00705916">
        <w:rPr>
          <w:lang w:val="en-US"/>
        </w:rPr>
        <w:t xml:space="preserve">is set to 1 for convenience and </w:t>
      </w:r>
      <w:r w:rsidRPr="00705916">
        <w:rPr>
          <w:i/>
          <w:iCs/>
          <w:lang w:val="en-US"/>
        </w:rPr>
        <w:t xml:space="preserve">k </w:t>
      </w:r>
      <w:r w:rsidRPr="00705916">
        <w:rPr>
          <w:lang w:val="en-US"/>
        </w:rPr>
        <w:t>was taken as 1.5 (Huang, 2010). </w:t>
      </w:r>
      <w:r w:rsidRPr="00705916">
        <w:t> </w:t>
      </w:r>
    </w:p>
    <w:p w14:paraId="117B04DA" w14:textId="77777777" w:rsidR="00705916" w:rsidRPr="00705916" w:rsidRDefault="00705916" w:rsidP="00B87AB8">
      <w:r w:rsidRPr="00705916">
        <w:rPr>
          <w:lang w:val="en-US"/>
        </w:rPr>
        <w:t xml:space="preserve">Critical shear stress, </w:t>
      </w:r>
      <w:r w:rsidRPr="00705916">
        <w:rPr>
          <w:rFonts w:ascii="Cambria Math" w:hAnsi="Cambria Math" w:cs="Cambria Math"/>
          <w:lang w:val="en-US"/>
        </w:rPr>
        <w:t>𝜏</w:t>
      </w:r>
      <w:r w:rsidRPr="00705916">
        <w:rPr>
          <w:rFonts w:ascii="Cambria Math" w:hAnsi="Cambria Math" w:cs="Cambria Math"/>
          <w:vertAlign w:val="subscript"/>
          <w:lang w:val="en-US"/>
        </w:rPr>
        <w:t>𝑐</w:t>
      </w:r>
      <w:r w:rsidRPr="00705916">
        <w:rPr>
          <w:lang w:val="en-US"/>
        </w:rPr>
        <w:t>, was calculated as: </w:t>
      </w:r>
      <w:r w:rsidRPr="00705916">
        <w:t> </w:t>
      </w:r>
    </w:p>
    <w:p w14:paraId="54D423DF" w14:textId="2A9F4A74" w:rsidR="00705916" w:rsidRPr="00705916" w:rsidRDefault="00705916" w:rsidP="00B87AB8">
      <w:r w:rsidRPr="00705916">
        <w:t> </w:t>
      </w:r>
      <w:r w:rsidR="004641FF">
        <w:rPr>
          <w:noProof/>
          <w14:ligatures w14:val="standardContextual"/>
        </w:rPr>
        <w:drawing>
          <wp:inline distT="0" distB="0" distL="0" distR="0" wp14:anchorId="17CF17FD" wp14:editId="115C576A">
            <wp:extent cx="1516380" cy="309798"/>
            <wp:effectExtent l="0" t="0" r="0" b="0"/>
            <wp:docPr id="1030366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366037" name=""/>
                    <pic:cNvPicPr/>
                  </pic:nvPicPr>
                  <pic:blipFill>
                    <a:blip r:embed="rId9"/>
                    <a:stretch>
                      <a:fillRect/>
                    </a:stretch>
                  </pic:blipFill>
                  <pic:spPr>
                    <a:xfrm>
                      <a:off x="0" y="0"/>
                      <a:ext cx="1581243" cy="323050"/>
                    </a:xfrm>
                    <a:prstGeom prst="rect">
                      <a:avLst/>
                    </a:prstGeom>
                  </pic:spPr>
                </pic:pic>
              </a:graphicData>
            </a:graphic>
          </wp:inline>
        </w:drawing>
      </w:r>
      <w:r w:rsidR="007272D2">
        <w:t>(2)</w:t>
      </w:r>
      <w:r w:rsidRPr="00705916">
        <w:t> </w:t>
      </w:r>
    </w:p>
    <w:p w14:paraId="697102BE" w14:textId="77777777" w:rsidR="00705916" w:rsidRPr="00705916" w:rsidRDefault="00705916" w:rsidP="00B87AB8">
      <w:r w:rsidRPr="00705916">
        <w:rPr>
          <w:lang w:val="en-US"/>
        </w:rPr>
        <w:t xml:space="preserve">where </w:t>
      </w:r>
      <w:r w:rsidRPr="00705916">
        <w:rPr>
          <w:rFonts w:ascii="Cambria Math" w:hAnsi="Cambria Math" w:cs="Cambria Math"/>
          <w:lang w:val="en-US"/>
        </w:rPr>
        <w:t>𝜃</w:t>
      </w:r>
      <w:r w:rsidRPr="00705916">
        <w:rPr>
          <w:rFonts w:ascii="Cambria Math" w:hAnsi="Cambria Math" w:cs="Cambria Math"/>
          <w:vertAlign w:val="subscript"/>
          <w:lang w:val="en-US"/>
        </w:rPr>
        <w:t>𝑐</w:t>
      </w:r>
      <w:r w:rsidRPr="00705916">
        <w:rPr>
          <w:lang w:val="en-US"/>
        </w:rPr>
        <w:t xml:space="preserve"> is the dimensionless critical shear stress, </w:t>
      </w:r>
      <w:r w:rsidRPr="00705916">
        <w:rPr>
          <w:i/>
          <w:iCs/>
          <w:lang w:val="en-US"/>
        </w:rPr>
        <w:t>D</w:t>
      </w:r>
      <w:r w:rsidRPr="00705916">
        <w:rPr>
          <w:lang w:val="en-US"/>
        </w:rPr>
        <w:t xml:space="preserve"> is a representative particle size (m), and </w:t>
      </w:r>
      <w:r w:rsidRPr="00705916">
        <w:rPr>
          <w:rFonts w:ascii="Cambria Math" w:hAnsi="Cambria Math" w:cs="Cambria Math"/>
          <w:lang w:val="en-US"/>
        </w:rPr>
        <w:t>𝜌</w:t>
      </w:r>
      <w:r w:rsidRPr="00705916">
        <w:rPr>
          <w:rFonts w:ascii="Cambria Math" w:hAnsi="Cambria Math" w:cs="Cambria Math"/>
          <w:vertAlign w:val="subscript"/>
          <w:lang w:val="en-US"/>
        </w:rPr>
        <w:t>𝑠</w:t>
      </w:r>
      <w:r w:rsidRPr="00705916">
        <w:rPr>
          <w:lang w:val="en-US"/>
        </w:rPr>
        <w:t xml:space="preserve"> is particle density (kg.m</w:t>
      </w:r>
      <w:r w:rsidRPr="00705916">
        <w:rPr>
          <w:vertAlign w:val="superscript"/>
          <w:lang w:val="en-US"/>
        </w:rPr>
        <w:t>-3</w:t>
      </w:r>
      <w:r w:rsidRPr="00705916">
        <w:rPr>
          <w:lang w:val="en-US"/>
        </w:rPr>
        <w:t xml:space="preserve">). Soulsby and Whitehouse’s (1997) approximation of the Shields (1936) curve (equation 3) was used to calculate </w:t>
      </w:r>
      <w:r w:rsidRPr="00705916">
        <w:rPr>
          <w:rFonts w:ascii="Cambria Math" w:hAnsi="Cambria Math" w:cs="Cambria Math"/>
          <w:lang w:val="en-US"/>
        </w:rPr>
        <w:t>𝜃</w:t>
      </w:r>
      <w:r w:rsidRPr="00705916">
        <w:rPr>
          <w:rFonts w:ascii="Cambria Math" w:hAnsi="Cambria Math" w:cs="Cambria Math"/>
          <w:vertAlign w:val="subscript"/>
          <w:lang w:val="en-US"/>
        </w:rPr>
        <w:t>𝑐</w:t>
      </w:r>
      <w:r w:rsidRPr="00705916">
        <w:rPr>
          <w:lang w:val="en-US"/>
        </w:rPr>
        <w:t xml:space="preserve"> where </w:t>
      </w:r>
      <w:r w:rsidRPr="00705916">
        <w:rPr>
          <w:rFonts w:ascii="Cambria Math" w:hAnsi="Cambria Math" w:cs="Cambria Math"/>
          <w:lang w:val="en-US"/>
        </w:rPr>
        <w:t>𝐷</w:t>
      </w:r>
      <w:r w:rsidRPr="00705916">
        <w:rPr>
          <w:rFonts w:ascii="Cambria Math" w:hAnsi="Cambria Math" w:cs="Cambria Math"/>
          <w:vertAlign w:val="subscript"/>
          <w:lang w:val="en-US"/>
        </w:rPr>
        <w:t>∗</w:t>
      </w:r>
      <w:r w:rsidRPr="00705916">
        <w:rPr>
          <w:lang w:val="en-US"/>
        </w:rPr>
        <w:t xml:space="preserve"> is the dimensionless grain-size (equation 4):</w:t>
      </w:r>
      <w:r w:rsidRPr="00705916">
        <w:t> </w:t>
      </w:r>
    </w:p>
    <w:p w14:paraId="2F831FF8" w14:textId="23F9C38A" w:rsidR="00705916" w:rsidRPr="00705916" w:rsidRDefault="007272D2" w:rsidP="00B87AB8">
      <w:r>
        <w:rPr>
          <w:noProof/>
          <w14:ligatures w14:val="standardContextual"/>
        </w:rPr>
        <w:lastRenderedPageBreak/>
        <w:drawing>
          <wp:anchor distT="0" distB="0" distL="114300" distR="114300" simplePos="0" relativeHeight="251658240" behindDoc="1" locked="0" layoutInCell="1" allowOverlap="1" wp14:anchorId="3597F65F" wp14:editId="13DD63D5">
            <wp:simplePos x="0" y="0"/>
            <wp:positionH relativeFrom="column">
              <wp:posOffset>7620</wp:posOffset>
            </wp:positionH>
            <wp:positionV relativeFrom="paragraph">
              <wp:posOffset>408940</wp:posOffset>
            </wp:positionV>
            <wp:extent cx="2164080" cy="403225"/>
            <wp:effectExtent l="0" t="0" r="7620" b="0"/>
            <wp:wrapTight wrapText="bothSides">
              <wp:wrapPolygon edited="0">
                <wp:start x="0" y="0"/>
                <wp:lineTo x="0" y="20409"/>
                <wp:lineTo x="21486" y="20409"/>
                <wp:lineTo x="21486" y="0"/>
                <wp:lineTo x="0" y="0"/>
              </wp:wrapPolygon>
            </wp:wrapTight>
            <wp:docPr id="1390825562" name="Picture 1" descr="A number and a symbo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825562" name="Picture 1" descr="A number and a symbol&#10;&#10;Description automatically generated with medium confidence"/>
                    <pic:cNvPicPr/>
                  </pic:nvPicPr>
                  <pic:blipFill>
                    <a:blip r:embed="rId10">
                      <a:extLst>
                        <a:ext uri="{28A0092B-C50C-407E-A947-70E740481C1C}">
                          <a14:useLocalDpi xmlns:a14="http://schemas.microsoft.com/office/drawing/2010/main" val="0"/>
                        </a:ext>
                      </a:extLst>
                    </a:blip>
                    <a:stretch>
                      <a:fillRect/>
                    </a:stretch>
                  </pic:blipFill>
                  <pic:spPr>
                    <a:xfrm>
                      <a:off x="0" y="0"/>
                      <a:ext cx="2164080" cy="403225"/>
                    </a:xfrm>
                    <a:prstGeom prst="rect">
                      <a:avLst/>
                    </a:prstGeom>
                  </pic:spPr>
                </pic:pic>
              </a:graphicData>
            </a:graphic>
            <wp14:sizeRelH relativeFrom="page">
              <wp14:pctWidth>0</wp14:pctWidth>
            </wp14:sizeRelH>
            <wp14:sizeRelV relativeFrom="page">
              <wp14:pctHeight>0</wp14:pctHeight>
            </wp14:sizeRelV>
          </wp:anchor>
        </w:drawing>
      </w:r>
      <w:r w:rsidR="00705916" w:rsidRPr="00705916">
        <w:t> </w:t>
      </w:r>
      <w:r w:rsidR="004641FF">
        <w:rPr>
          <w:noProof/>
          <w14:ligatures w14:val="standardContextual"/>
        </w:rPr>
        <w:drawing>
          <wp:inline distT="0" distB="0" distL="0" distR="0" wp14:anchorId="7F8A39C3" wp14:editId="40F138A4">
            <wp:extent cx="3162300" cy="336245"/>
            <wp:effectExtent l="0" t="0" r="0" b="6985"/>
            <wp:docPr id="1140298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298507" name=""/>
                    <pic:cNvPicPr/>
                  </pic:nvPicPr>
                  <pic:blipFill>
                    <a:blip r:embed="rId11"/>
                    <a:stretch>
                      <a:fillRect/>
                    </a:stretch>
                  </pic:blipFill>
                  <pic:spPr>
                    <a:xfrm>
                      <a:off x="0" y="0"/>
                      <a:ext cx="3215668" cy="341920"/>
                    </a:xfrm>
                    <a:prstGeom prst="rect">
                      <a:avLst/>
                    </a:prstGeom>
                  </pic:spPr>
                </pic:pic>
              </a:graphicData>
            </a:graphic>
          </wp:inline>
        </w:drawing>
      </w:r>
      <w:r>
        <w:t xml:space="preserve"> (3)</w:t>
      </w:r>
    </w:p>
    <w:p w14:paraId="00D54139" w14:textId="65AAE25E" w:rsidR="00705916" w:rsidRPr="00705916" w:rsidRDefault="00705916" w:rsidP="00B87AB8">
      <w:r w:rsidRPr="00705916">
        <w:tab/>
      </w:r>
      <w:r w:rsidRPr="00705916">
        <w:tab/>
      </w:r>
      <w:r w:rsidR="007272D2">
        <w:t xml:space="preserve"> (4)</w:t>
      </w:r>
      <w:r w:rsidRPr="00705916">
        <w:tab/>
      </w:r>
      <w:r w:rsidRPr="00705916">
        <w:tab/>
      </w:r>
      <w:r w:rsidRPr="00705916">
        <w:tab/>
      </w:r>
      <w:r w:rsidRPr="00705916">
        <w:tab/>
      </w:r>
      <w:r w:rsidRPr="00705916">
        <w:tab/>
      </w:r>
    </w:p>
    <w:p w14:paraId="1033CEBF" w14:textId="77777777" w:rsidR="00705916" w:rsidRPr="00705916" w:rsidRDefault="00705916" w:rsidP="00B87AB8">
      <w:r w:rsidRPr="00705916">
        <w:t> </w:t>
      </w:r>
    </w:p>
    <w:p w14:paraId="35E5980E" w14:textId="46CEC9C7" w:rsidR="00B87AB8" w:rsidRPr="008568E3" w:rsidRDefault="00705916" w:rsidP="00B87AB8">
      <w:pPr>
        <w:rPr>
          <w:lang w:val="en-US"/>
        </w:rPr>
      </w:pPr>
      <w:r w:rsidRPr="00705916">
        <w:rPr>
          <w:lang w:val="en-US"/>
        </w:rPr>
        <w:t xml:space="preserve">where </w:t>
      </w:r>
      <w:r w:rsidRPr="00705916">
        <w:rPr>
          <w:i/>
          <w:iCs/>
          <w:lang w:val="en-US"/>
        </w:rPr>
        <w:t>s</w:t>
      </w:r>
      <w:r w:rsidRPr="00705916">
        <w:rPr>
          <w:i/>
          <w:iCs/>
          <w:vertAlign w:val="subscript"/>
          <w:lang w:val="en-US"/>
        </w:rPr>
        <w:t>s</w:t>
      </w:r>
      <w:r w:rsidRPr="00705916">
        <w:rPr>
          <w:lang w:val="en-US"/>
        </w:rPr>
        <w:t xml:space="preserve"> is </w:t>
      </w:r>
      <w:r w:rsidRPr="00705916">
        <w:rPr>
          <w:rFonts w:ascii="Cambria Math" w:hAnsi="Cambria Math" w:cs="Cambria Math"/>
          <w:lang w:val="en-US"/>
        </w:rPr>
        <w:t>𝜌</w:t>
      </w:r>
      <w:r w:rsidRPr="00705916">
        <w:rPr>
          <w:rFonts w:ascii="Cambria Math" w:hAnsi="Cambria Math" w:cs="Cambria Math"/>
          <w:vertAlign w:val="subscript"/>
          <w:lang w:val="en-US"/>
        </w:rPr>
        <w:t>𝑠</w:t>
      </w:r>
      <w:r w:rsidRPr="00705916">
        <w:rPr>
          <w:lang w:val="en-US"/>
        </w:rPr>
        <w:t>/</w:t>
      </w:r>
      <w:r w:rsidRPr="00705916">
        <w:rPr>
          <w:rFonts w:ascii="Cambria Math" w:hAnsi="Cambria Math" w:cs="Cambria Math"/>
          <w:lang w:val="en-US"/>
        </w:rPr>
        <w:t>𝜌</w:t>
      </w:r>
      <w:r w:rsidRPr="00705916">
        <w:rPr>
          <w:lang w:val="en-US"/>
        </w:rPr>
        <w:t xml:space="preserve"> and </w:t>
      </w:r>
      <w:r w:rsidRPr="00705916">
        <w:t>v</w:t>
      </w:r>
      <w:r w:rsidR="007272D2">
        <w:t xml:space="preserve"> </w:t>
      </w:r>
      <w:r w:rsidRPr="00705916">
        <w:rPr>
          <w:lang w:val="en-US"/>
        </w:rPr>
        <w:t>is kinematic viscosity at a specific water temperature (m</w:t>
      </w:r>
      <w:r w:rsidRPr="00705916">
        <w:rPr>
          <w:vertAlign w:val="superscript"/>
          <w:lang w:val="en-US"/>
        </w:rPr>
        <w:t>2</w:t>
      </w:r>
      <w:r w:rsidRPr="00705916">
        <w:rPr>
          <w:lang w:val="en-US"/>
        </w:rPr>
        <w:t>.s</w:t>
      </w:r>
      <w:r w:rsidRPr="00705916">
        <w:rPr>
          <w:vertAlign w:val="superscript"/>
          <w:lang w:val="en-US"/>
        </w:rPr>
        <w:t>-1</w:t>
      </w:r>
      <w:r w:rsidRPr="00705916">
        <w:rPr>
          <w:lang w:val="en-US"/>
        </w:rPr>
        <w:t xml:space="preserve">). Three representative particle sizes, </w:t>
      </w:r>
      <w:r w:rsidRPr="00705916">
        <w:rPr>
          <w:i/>
          <w:iCs/>
          <w:lang w:val="en-US"/>
        </w:rPr>
        <w:t>D</w:t>
      </w:r>
      <w:r w:rsidRPr="00705916">
        <w:rPr>
          <w:lang w:val="en-US"/>
        </w:rPr>
        <w:t xml:space="preserve">, were used, the </w:t>
      </w:r>
      <w:r w:rsidRPr="00705916">
        <w:rPr>
          <w:i/>
          <w:iCs/>
          <w:lang w:val="en-US"/>
        </w:rPr>
        <w:t>D</w:t>
      </w:r>
      <w:r w:rsidRPr="00705916">
        <w:rPr>
          <w:vertAlign w:val="subscript"/>
          <w:lang w:val="en-US"/>
        </w:rPr>
        <w:t>16</w:t>
      </w:r>
      <w:r w:rsidRPr="00705916">
        <w:rPr>
          <w:lang w:val="en-US"/>
        </w:rPr>
        <w:t xml:space="preserve">, </w:t>
      </w:r>
      <w:r w:rsidRPr="00705916">
        <w:rPr>
          <w:i/>
          <w:iCs/>
          <w:lang w:val="en-US"/>
        </w:rPr>
        <w:t>D</w:t>
      </w:r>
      <w:r w:rsidRPr="00705916">
        <w:rPr>
          <w:vertAlign w:val="subscript"/>
          <w:lang w:val="en-US"/>
        </w:rPr>
        <w:t>50</w:t>
      </w:r>
      <w:r w:rsidRPr="00705916">
        <w:rPr>
          <w:lang w:val="en-US"/>
        </w:rPr>
        <w:t xml:space="preserve">, and </w:t>
      </w:r>
      <w:r w:rsidRPr="00705916">
        <w:rPr>
          <w:i/>
          <w:iCs/>
          <w:lang w:val="en-US"/>
        </w:rPr>
        <w:t>D</w:t>
      </w:r>
      <w:r w:rsidRPr="00705916">
        <w:rPr>
          <w:vertAlign w:val="subscript"/>
          <w:lang w:val="en-US"/>
        </w:rPr>
        <w:t>84</w:t>
      </w:r>
      <w:r w:rsidRPr="00705916">
        <w:rPr>
          <w:lang w:val="en-US"/>
        </w:rPr>
        <w:t xml:space="preserve"> of the active layer (Hoey and Ferguson, 1994) calculated by combining the grain size distributions of five bulk surface and five subsurface samples distributed along the study area.</w:t>
      </w:r>
    </w:p>
    <w:p w14:paraId="67E3AE58" w14:textId="03DFA5BB" w:rsidR="008A4431" w:rsidRPr="00B87AB8" w:rsidRDefault="00B87AB8" w:rsidP="00B87AB8">
      <w:r w:rsidRPr="00B87AB8">
        <w:t>References:</w:t>
      </w:r>
    </w:p>
    <w:p w14:paraId="11767C96" w14:textId="77777777" w:rsidR="00B87AB8" w:rsidRPr="00381962" w:rsidRDefault="00B87AB8" w:rsidP="00B87AB8">
      <w:pPr>
        <w:pStyle w:val="ListParagraph"/>
        <w:numPr>
          <w:ilvl w:val="0"/>
          <w:numId w:val="4"/>
        </w:numPr>
        <w:rPr>
          <w:lang w:val="en-US"/>
        </w:rPr>
      </w:pPr>
      <w:r w:rsidRPr="00381962">
        <w:rPr>
          <w:lang w:val="en-US"/>
        </w:rPr>
        <w:t>Hoey, T and R. Ferguson. Numerical simulation of downstream fining by selective transport in gravel bed rivers: Models development and illustration. Water Resources Research. 30, 7, 2251-2260 (1994)</w:t>
      </w:r>
    </w:p>
    <w:p w14:paraId="0996486F" w14:textId="77777777" w:rsidR="00B87AB8" w:rsidRPr="00381962" w:rsidRDefault="00B87AB8" w:rsidP="00B87AB8">
      <w:pPr>
        <w:pStyle w:val="ListParagraph"/>
        <w:numPr>
          <w:ilvl w:val="0"/>
          <w:numId w:val="4"/>
        </w:numPr>
        <w:rPr>
          <w:lang w:val="en-US"/>
        </w:rPr>
      </w:pPr>
      <w:r w:rsidRPr="00381962">
        <w:rPr>
          <w:lang w:val="en-US"/>
        </w:rPr>
        <w:t xml:space="preserve">Huang, H.Q. Reformulation of the bed load equation of </w:t>
      </w:r>
      <w:proofErr w:type="gramStart"/>
      <w:r w:rsidRPr="00381962">
        <w:rPr>
          <w:lang w:val="en-US"/>
        </w:rPr>
        <w:t>Meyer-Peter</w:t>
      </w:r>
      <w:proofErr w:type="gramEnd"/>
      <w:r w:rsidRPr="00381962">
        <w:rPr>
          <w:lang w:val="en-US"/>
        </w:rPr>
        <w:t xml:space="preserve"> and Muller in light of the linearity theory for alluvial channel flow. Water Resources Research, 46, W09533 (2010) </w:t>
      </w:r>
    </w:p>
    <w:p w14:paraId="13DD3131" w14:textId="2F0E524F" w:rsidR="00B87AB8" w:rsidRPr="008568E3" w:rsidRDefault="00B87AB8" w:rsidP="008568E3">
      <w:pPr>
        <w:pStyle w:val="ListParagraph"/>
        <w:numPr>
          <w:ilvl w:val="0"/>
          <w:numId w:val="4"/>
        </w:numPr>
        <w:rPr>
          <w:rFonts w:eastAsia="Arial"/>
          <w:color w:val="000000"/>
          <w:lang w:eastAsia="en-GB"/>
        </w:rPr>
      </w:pPr>
      <w:r w:rsidRPr="00705916">
        <w:rPr>
          <w:rFonts w:eastAsia="Arial"/>
          <w:lang w:eastAsia="en-GB"/>
        </w:rPr>
        <w:t xml:space="preserve">Kasvi, E., J. Salmela, E. </w:t>
      </w:r>
      <w:proofErr w:type="spellStart"/>
      <w:r w:rsidRPr="00705916">
        <w:rPr>
          <w:rFonts w:eastAsia="Arial"/>
          <w:lang w:eastAsia="en-GB"/>
        </w:rPr>
        <w:t>Lotsari</w:t>
      </w:r>
      <w:proofErr w:type="spellEnd"/>
      <w:r w:rsidRPr="00705916">
        <w:rPr>
          <w:rFonts w:eastAsia="Arial"/>
          <w:lang w:eastAsia="en-GB"/>
        </w:rPr>
        <w:t xml:space="preserve">, T. Kumpula, and S.N. Lane, Comparison of remote </w:t>
      </w:r>
      <w:proofErr w:type="gramStart"/>
      <w:r w:rsidRPr="00705916">
        <w:rPr>
          <w:rFonts w:eastAsia="Arial"/>
          <w:lang w:eastAsia="en-GB"/>
        </w:rPr>
        <w:t>sensing based</w:t>
      </w:r>
      <w:proofErr w:type="gramEnd"/>
      <w:r w:rsidRPr="00705916">
        <w:rPr>
          <w:rFonts w:eastAsia="Arial"/>
          <w:lang w:eastAsia="en-GB"/>
        </w:rPr>
        <w:t xml:space="preserve"> approaches for mapping bathymetry of shallow, clear water rivers. Geomorphology, 333, 180–197 (2019) </w:t>
      </w:r>
    </w:p>
    <w:p w14:paraId="570BEEE3" w14:textId="77777777" w:rsidR="00B87AB8" w:rsidRPr="00705916" w:rsidRDefault="00B87AB8" w:rsidP="008568E3">
      <w:pPr>
        <w:pStyle w:val="ListParagraph"/>
        <w:numPr>
          <w:ilvl w:val="0"/>
          <w:numId w:val="4"/>
        </w:numPr>
      </w:pPr>
      <w:r w:rsidRPr="00705916">
        <w:t xml:space="preserve">Legleiter, C. J. &amp; Harrison, L. R. Remote sensing of river bathymetry: evaluating a range of sensors, platforms, and algorithms on the Upper Sacramento River, California, USA. Water </w:t>
      </w:r>
      <w:proofErr w:type="spellStart"/>
      <w:r w:rsidRPr="00705916">
        <w:t>Resour</w:t>
      </w:r>
      <w:proofErr w:type="spellEnd"/>
      <w:r w:rsidRPr="00705916">
        <w:t>. Res. 55, 2142–2169 (2019).</w:t>
      </w:r>
    </w:p>
    <w:p w14:paraId="7FD85B32" w14:textId="77777777" w:rsidR="00B87AB8" w:rsidRPr="00705916" w:rsidRDefault="00B87AB8" w:rsidP="008568E3">
      <w:pPr>
        <w:pStyle w:val="ListParagraph"/>
        <w:numPr>
          <w:ilvl w:val="0"/>
          <w:numId w:val="4"/>
        </w:numPr>
      </w:pPr>
      <w:r w:rsidRPr="00705916">
        <w:t>Legleiter, C. J. The optical river bathymetry toolkit. River Res. Appl. https://doi.org/10.1002/rra.3773 (2021).</w:t>
      </w:r>
    </w:p>
    <w:p w14:paraId="2A2F7A1D" w14:textId="77777777" w:rsidR="00B87AB8" w:rsidRPr="00705916" w:rsidRDefault="00B87AB8" w:rsidP="008568E3">
      <w:pPr>
        <w:pStyle w:val="ListParagraph"/>
        <w:numPr>
          <w:ilvl w:val="0"/>
          <w:numId w:val="4"/>
        </w:numPr>
      </w:pPr>
      <w:r w:rsidRPr="00705916">
        <w:t xml:space="preserve">Legleiter, C. J., Roberts, D. A. &amp; Lawrence, R. L. Spectrally based remote sensing of river bathymetry. Earth Surf. Process. </w:t>
      </w:r>
      <w:proofErr w:type="spellStart"/>
      <w:r w:rsidRPr="00705916">
        <w:t>Landf</w:t>
      </w:r>
      <w:proofErr w:type="spellEnd"/>
      <w:r w:rsidRPr="00705916">
        <w:t>. 34, 1039–1059 (2009).</w:t>
      </w:r>
    </w:p>
    <w:p w14:paraId="7A6C6234" w14:textId="77777777" w:rsidR="00B87AB8" w:rsidRPr="00705916" w:rsidRDefault="00B87AB8" w:rsidP="008568E3">
      <w:pPr>
        <w:pStyle w:val="ListParagraph"/>
        <w:numPr>
          <w:ilvl w:val="0"/>
          <w:numId w:val="4"/>
        </w:numPr>
      </w:pPr>
      <w:r w:rsidRPr="486929B9">
        <w:t xml:space="preserve">Paringit, E. C. &amp; Pascua, C. LiDAR Surveys and Flood Mapping of Bacarra River (University of the Philippines Training </w:t>
      </w:r>
      <w:proofErr w:type="spellStart"/>
      <w:r w:rsidRPr="486929B9">
        <w:t>Center</w:t>
      </w:r>
      <w:proofErr w:type="spellEnd"/>
      <w:r w:rsidRPr="486929B9">
        <w:t xml:space="preserve"> for Applied Geodesy and Photogrammetry, Quezon City, 2017).</w:t>
      </w:r>
    </w:p>
    <w:p w14:paraId="75D220B6" w14:textId="337E374F" w:rsidR="00B87AB8" w:rsidRPr="008568E3" w:rsidRDefault="00B87AB8" w:rsidP="00B87AB8">
      <w:pPr>
        <w:pStyle w:val="ListParagraph"/>
        <w:numPr>
          <w:ilvl w:val="0"/>
          <w:numId w:val="4"/>
        </w:numPr>
        <w:rPr>
          <w:rFonts w:eastAsia="Segoe UI"/>
          <w:u w:val="single"/>
        </w:rPr>
      </w:pPr>
      <w:r w:rsidRPr="486929B9">
        <w:rPr>
          <w:rFonts w:eastAsia="Segoe UI"/>
        </w:rPr>
        <w:t xml:space="preserve">Quick, L., Williams, R. D., Boothroyd, R. J., Hoey, T. B., Tolentino, P. L. M., MacDonell, C., Guardian, </w:t>
      </w:r>
      <w:r w:rsidRPr="005F00D1">
        <w:rPr>
          <w:rFonts w:eastAsia="Segoe UI"/>
        </w:rPr>
        <w:t xml:space="preserve">E., Reyes, J., Sabillo, C., Perez, J., &amp; David, C. P. C. (2025). Author Correction: Confined and mined: anthropogenic river modification as a driver of flood risk change. </w:t>
      </w:r>
      <w:proofErr w:type="spellStart"/>
      <w:r w:rsidRPr="005F00D1">
        <w:rPr>
          <w:rFonts w:eastAsia="Segoe UI"/>
        </w:rPr>
        <w:t>Npj</w:t>
      </w:r>
      <w:proofErr w:type="spellEnd"/>
      <w:r w:rsidRPr="005F00D1">
        <w:rPr>
          <w:rFonts w:eastAsia="Segoe UI"/>
        </w:rPr>
        <w:t xml:space="preserve"> Natural Hazards, 2(1), 1–1. </w:t>
      </w:r>
      <w:hyperlink r:id="rId12" w:history="1">
        <w:hyperlink r:id="rId13" w:history="1">
          <w:r w:rsidRPr="005F00D1">
            <w:rPr>
              <w:rStyle w:val="Hyperlink"/>
              <w:rFonts w:ascii="Segoe UI" w:eastAsia="Segoe UI" w:hAnsi="Segoe UI" w:cs="Segoe UI"/>
              <w:color w:val="000000" w:themeColor="text1"/>
            </w:rPr>
            <w:t>https://doi.org/10.1038/s44304-024-00051</w:t>
          </w:r>
          <w:r w:rsidRPr="005F00D1">
            <w:rPr>
              <w:rStyle w:val="Hyperlink"/>
              <w:rFonts w:ascii="Segoe UI" w:eastAsia="Segoe UI" w:hAnsi="Segoe UI" w:cs="Segoe UI"/>
              <w:color w:val="000000" w:themeColor="text1"/>
            </w:rPr>
            <w:t>-</w:t>
          </w:r>
          <w:r w:rsidRPr="005F00D1">
            <w:rPr>
              <w:rStyle w:val="Hyperlink"/>
              <w:rFonts w:ascii="Segoe UI" w:eastAsia="Segoe UI" w:hAnsi="Segoe UI" w:cs="Segoe UI"/>
              <w:color w:val="000000" w:themeColor="text1"/>
            </w:rPr>
            <w:t>6</w:t>
          </w:r>
        </w:hyperlink>
      </w:hyperlink>
    </w:p>
    <w:p w14:paraId="656577CE" w14:textId="59EDD3A4" w:rsidR="00B87AB8" w:rsidRPr="001472DA" w:rsidRDefault="00B87AB8" w:rsidP="00B87AB8">
      <w:pPr>
        <w:pStyle w:val="ListParagraph"/>
        <w:numPr>
          <w:ilvl w:val="0"/>
          <w:numId w:val="4"/>
        </w:numPr>
        <w:rPr>
          <w:lang w:val="en-US"/>
        </w:rPr>
      </w:pPr>
      <w:r w:rsidRPr="00381962">
        <w:rPr>
          <w:lang w:val="en-US"/>
        </w:rPr>
        <w:t xml:space="preserve">Soulsby, R.L. and Whitehouse, R.J.S. Threshold of Sediment </w:t>
      </w:r>
      <w:proofErr w:type="spellStart"/>
      <w:r w:rsidRPr="00381962">
        <w:rPr>
          <w:lang w:val="en-US"/>
        </w:rPr>
        <w:t>Motaion</w:t>
      </w:r>
      <w:proofErr w:type="spellEnd"/>
      <w:r w:rsidRPr="00381962">
        <w:rPr>
          <w:lang w:val="en-US"/>
        </w:rPr>
        <w:t xml:space="preserve"> in Coastal Environments: In </w:t>
      </w:r>
      <w:r w:rsidRPr="00381962">
        <w:t>Pacific Coasts and Ports '97: Proceedings of the 13th Australasian Coastal and Ocean Engineering Conference and the 6th Australasian Port and Harbour Conference, 1, 1, 1, 1997, 145-150 (1997)</w:t>
      </w:r>
    </w:p>
    <w:p w14:paraId="2C6C17B5" w14:textId="680BE65B" w:rsidR="008A4431" w:rsidRPr="008568E3" w:rsidRDefault="00B87AB8" w:rsidP="00B87AB8">
      <w:pPr>
        <w:pStyle w:val="ListParagraph"/>
        <w:numPr>
          <w:ilvl w:val="0"/>
          <w:numId w:val="3"/>
        </w:numPr>
        <w:rPr>
          <w:rFonts w:eastAsia="Arial"/>
          <w:color w:val="000000"/>
          <w:lang w:eastAsia="en-GB"/>
        </w:rPr>
      </w:pPr>
      <w:r w:rsidRPr="00305EBB">
        <w:t xml:space="preserve">Wheaton, J. M., Brasington, J., Darby, S. E. &amp; Sear, D. A. Accounting for uncertainty in DEMs from repeat topographic surveys: improved sediment budgets. Earth Surf. Process. </w:t>
      </w:r>
      <w:proofErr w:type="spellStart"/>
      <w:r w:rsidRPr="00305EBB">
        <w:t>Landf</w:t>
      </w:r>
      <w:proofErr w:type="spellEnd"/>
      <w:r w:rsidRPr="00305EBB">
        <w:t>. 35, 136</w:t>
      </w:r>
      <w:r w:rsidRPr="00305EBB">
        <w:rPr>
          <w:rFonts w:hint="eastAsia"/>
        </w:rPr>
        <w:t>–</w:t>
      </w:r>
      <w:r w:rsidRPr="00305EBB">
        <w:t>156 (2010).</w:t>
      </w:r>
      <w:r>
        <w:t xml:space="preserve"> </w:t>
      </w:r>
    </w:p>
    <w:sectPr w:rsidR="008A4431" w:rsidRPr="008568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255EB"/>
    <w:multiLevelType w:val="hybridMultilevel"/>
    <w:tmpl w:val="B6EC0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DE2FF9"/>
    <w:multiLevelType w:val="hybridMultilevel"/>
    <w:tmpl w:val="20A6F1CE"/>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411E0A"/>
    <w:multiLevelType w:val="hybridMultilevel"/>
    <w:tmpl w:val="1C94B23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A51E46"/>
    <w:multiLevelType w:val="hybridMultilevel"/>
    <w:tmpl w:val="53C8B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950AC4"/>
    <w:multiLevelType w:val="hybridMultilevel"/>
    <w:tmpl w:val="89CAA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450357"/>
    <w:multiLevelType w:val="hybridMultilevel"/>
    <w:tmpl w:val="90C2D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273469">
    <w:abstractNumId w:val="0"/>
  </w:num>
  <w:num w:numId="2" w16cid:durableId="1886913776">
    <w:abstractNumId w:val="2"/>
  </w:num>
  <w:num w:numId="3" w16cid:durableId="1191189729">
    <w:abstractNumId w:val="1"/>
  </w:num>
  <w:num w:numId="4" w16cid:durableId="929974135">
    <w:abstractNumId w:val="4"/>
  </w:num>
  <w:num w:numId="5" w16cid:durableId="1108891135">
    <w:abstractNumId w:val="5"/>
  </w:num>
  <w:num w:numId="6" w16cid:durableId="5621819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431"/>
    <w:rsid w:val="001472DA"/>
    <w:rsid w:val="00283968"/>
    <w:rsid w:val="002E11DF"/>
    <w:rsid w:val="00305EBB"/>
    <w:rsid w:val="00306F7C"/>
    <w:rsid w:val="00370943"/>
    <w:rsid w:val="00381962"/>
    <w:rsid w:val="00422585"/>
    <w:rsid w:val="004641FF"/>
    <w:rsid w:val="00473F0E"/>
    <w:rsid w:val="004927E5"/>
    <w:rsid w:val="004D5E8A"/>
    <w:rsid w:val="00520368"/>
    <w:rsid w:val="005F6851"/>
    <w:rsid w:val="00705916"/>
    <w:rsid w:val="007272D2"/>
    <w:rsid w:val="00734082"/>
    <w:rsid w:val="00784A21"/>
    <w:rsid w:val="008568E3"/>
    <w:rsid w:val="008A4431"/>
    <w:rsid w:val="008B048E"/>
    <w:rsid w:val="008C3CE5"/>
    <w:rsid w:val="008D37A9"/>
    <w:rsid w:val="009421F6"/>
    <w:rsid w:val="00A84DBC"/>
    <w:rsid w:val="00B44AC9"/>
    <w:rsid w:val="00B87AB8"/>
    <w:rsid w:val="00C910A4"/>
    <w:rsid w:val="00CE0435"/>
    <w:rsid w:val="00D00890"/>
    <w:rsid w:val="00D150CA"/>
    <w:rsid w:val="00DB4BCD"/>
    <w:rsid w:val="00DB7496"/>
    <w:rsid w:val="00DF4317"/>
    <w:rsid w:val="00E174DC"/>
    <w:rsid w:val="00F07B90"/>
    <w:rsid w:val="00FC79E1"/>
    <w:rsid w:val="03A9B1A6"/>
    <w:rsid w:val="04975307"/>
    <w:rsid w:val="049F9441"/>
    <w:rsid w:val="09B1AADD"/>
    <w:rsid w:val="0A117B44"/>
    <w:rsid w:val="0EA7EF78"/>
    <w:rsid w:val="10C8D3D5"/>
    <w:rsid w:val="1107A651"/>
    <w:rsid w:val="146A13F8"/>
    <w:rsid w:val="14E7D29F"/>
    <w:rsid w:val="186CF9E0"/>
    <w:rsid w:val="1C2248F2"/>
    <w:rsid w:val="1DAC47CD"/>
    <w:rsid w:val="1F7DF81B"/>
    <w:rsid w:val="23CDD9AF"/>
    <w:rsid w:val="2BBFA1BE"/>
    <w:rsid w:val="30BB0594"/>
    <w:rsid w:val="32AF8172"/>
    <w:rsid w:val="33687B4D"/>
    <w:rsid w:val="37476DF9"/>
    <w:rsid w:val="3F1D4E21"/>
    <w:rsid w:val="408B4EDF"/>
    <w:rsid w:val="431ADF57"/>
    <w:rsid w:val="44387037"/>
    <w:rsid w:val="47047BB0"/>
    <w:rsid w:val="486929B9"/>
    <w:rsid w:val="4892BB6C"/>
    <w:rsid w:val="4B98C2E5"/>
    <w:rsid w:val="4BEFCAB5"/>
    <w:rsid w:val="4DFAC79C"/>
    <w:rsid w:val="4E34AB10"/>
    <w:rsid w:val="51DB607A"/>
    <w:rsid w:val="59357875"/>
    <w:rsid w:val="5B2E98F0"/>
    <w:rsid w:val="5BFDB8BA"/>
    <w:rsid w:val="5C2CFABB"/>
    <w:rsid w:val="5C47054C"/>
    <w:rsid w:val="5F0C81B8"/>
    <w:rsid w:val="66E688C8"/>
    <w:rsid w:val="675A86B8"/>
    <w:rsid w:val="69C9CA89"/>
    <w:rsid w:val="6BE02A3B"/>
    <w:rsid w:val="6E27F953"/>
    <w:rsid w:val="6ED84D9C"/>
    <w:rsid w:val="6EFB8E29"/>
    <w:rsid w:val="727DCB06"/>
    <w:rsid w:val="7350935B"/>
    <w:rsid w:val="7A840E0B"/>
    <w:rsid w:val="7DE76D84"/>
    <w:rsid w:val="7E232D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6CA5C"/>
  <w15:chartTrackingRefBased/>
  <w15:docId w15:val="{AD9456A3-41E5-4E8F-9ABC-970ED1D62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AB8"/>
    <w:pPr>
      <w:widowControl w:val="0"/>
      <w:autoSpaceDN w:val="0"/>
      <w:adjustRightInd w:val="0"/>
      <w:spacing w:after="200" w:line="276" w:lineRule="auto"/>
    </w:pPr>
    <w:rPr>
      <w:rFonts w:asciiTheme="minorBidi" w:eastAsia="Times New Roman" w:hAnsiTheme="minorBidi"/>
      <w:kern w:val="1"/>
      <w:sz w:val="20"/>
      <w:szCs w:val="20"/>
      <w14:ligatures w14:val="none"/>
    </w:rPr>
  </w:style>
  <w:style w:type="paragraph" w:styleId="Heading1">
    <w:name w:val="heading 1"/>
    <w:basedOn w:val="Normal"/>
    <w:next w:val="Normal"/>
    <w:link w:val="Heading1Char"/>
    <w:uiPriority w:val="9"/>
    <w:qFormat/>
    <w:rsid w:val="008A44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44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44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44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44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44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44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44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44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44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44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44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44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44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44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44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44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4431"/>
    <w:rPr>
      <w:rFonts w:eastAsiaTheme="majorEastAsia" w:cstheme="majorBidi"/>
      <w:color w:val="272727" w:themeColor="text1" w:themeTint="D8"/>
    </w:rPr>
  </w:style>
  <w:style w:type="paragraph" w:styleId="Title">
    <w:name w:val="Title"/>
    <w:basedOn w:val="Normal"/>
    <w:next w:val="Normal"/>
    <w:link w:val="TitleChar"/>
    <w:uiPriority w:val="10"/>
    <w:qFormat/>
    <w:rsid w:val="008A44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44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44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44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4431"/>
    <w:pPr>
      <w:spacing w:before="160"/>
      <w:jc w:val="center"/>
    </w:pPr>
    <w:rPr>
      <w:i/>
      <w:iCs/>
      <w:color w:val="404040" w:themeColor="text1" w:themeTint="BF"/>
    </w:rPr>
  </w:style>
  <w:style w:type="character" w:customStyle="1" w:styleId="QuoteChar">
    <w:name w:val="Quote Char"/>
    <w:basedOn w:val="DefaultParagraphFont"/>
    <w:link w:val="Quote"/>
    <w:uiPriority w:val="29"/>
    <w:rsid w:val="008A4431"/>
    <w:rPr>
      <w:i/>
      <w:iCs/>
      <w:color w:val="404040" w:themeColor="text1" w:themeTint="BF"/>
    </w:rPr>
  </w:style>
  <w:style w:type="paragraph" w:styleId="ListParagraph">
    <w:name w:val="List Paragraph"/>
    <w:basedOn w:val="Normal"/>
    <w:uiPriority w:val="34"/>
    <w:qFormat/>
    <w:rsid w:val="008A4431"/>
    <w:pPr>
      <w:ind w:left="720"/>
      <w:contextualSpacing/>
    </w:pPr>
  </w:style>
  <w:style w:type="character" w:styleId="IntenseEmphasis">
    <w:name w:val="Intense Emphasis"/>
    <w:basedOn w:val="DefaultParagraphFont"/>
    <w:uiPriority w:val="21"/>
    <w:qFormat/>
    <w:rsid w:val="008A4431"/>
    <w:rPr>
      <w:i/>
      <w:iCs/>
      <w:color w:val="0F4761" w:themeColor="accent1" w:themeShade="BF"/>
    </w:rPr>
  </w:style>
  <w:style w:type="paragraph" w:styleId="IntenseQuote">
    <w:name w:val="Intense Quote"/>
    <w:basedOn w:val="Normal"/>
    <w:next w:val="Normal"/>
    <w:link w:val="IntenseQuoteChar"/>
    <w:uiPriority w:val="30"/>
    <w:qFormat/>
    <w:rsid w:val="008A44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4431"/>
    <w:rPr>
      <w:i/>
      <w:iCs/>
      <w:color w:val="0F4761" w:themeColor="accent1" w:themeShade="BF"/>
    </w:rPr>
  </w:style>
  <w:style w:type="character" w:styleId="IntenseReference">
    <w:name w:val="Intense Reference"/>
    <w:basedOn w:val="DefaultParagraphFont"/>
    <w:uiPriority w:val="32"/>
    <w:qFormat/>
    <w:rsid w:val="008A4431"/>
    <w:rPr>
      <w:b/>
      <w:bCs/>
      <w:smallCaps/>
      <w:color w:val="0F4761" w:themeColor="accent1" w:themeShade="BF"/>
      <w:spacing w:val="5"/>
    </w:rPr>
  </w:style>
  <w:style w:type="character" w:customStyle="1" w:styleId="inlineNote">
    <w:name w:val="inlineNote"/>
    <w:uiPriority w:val="99"/>
    <w:qFormat/>
    <w:rsid w:val="008A4431"/>
    <w:rPr>
      <w:i/>
      <w:color w:val="808080"/>
      <w:sz w:val="16"/>
    </w:rPr>
  </w:style>
  <w:style w:type="table" w:styleId="TableGrid">
    <w:name w:val="Table Grid"/>
    <w:basedOn w:val="TableNormal"/>
    <w:uiPriority w:val="39"/>
    <w:rsid w:val="008A443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A4431"/>
    <w:rPr>
      <w:color w:val="0000FF"/>
      <w:u w:val="single"/>
    </w:rPr>
  </w:style>
  <w:style w:type="character" w:styleId="UnresolvedMention">
    <w:name w:val="Unresolved Mention"/>
    <w:basedOn w:val="DefaultParagraphFont"/>
    <w:uiPriority w:val="99"/>
    <w:semiHidden/>
    <w:unhideWhenUsed/>
    <w:rsid w:val="001472DA"/>
    <w:rPr>
      <w:color w:val="605E5C"/>
      <w:shd w:val="clear" w:color="auto" w:fill="E1DFDD"/>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Calibri" w:eastAsia="Times New Roman" w:hAnsi="Calibri" w:cs="Times New Roman"/>
      <w:kern w:val="1"/>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F6851"/>
    <w:pPr>
      <w:spacing w:after="0" w:line="240" w:lineRule="auto"/>
    </w:pPr>
    <w:rPr>
      <w:rFonts w:ascii="Calibri" w:eastAsia="Times New Roman" w:hAnsi="Calibri" w:cs="Times New Roman"/>
      <w:kern w:val="1"/>
      <w:sz w:val="20"/>
      <w:szCs w:val="20"/>
      <w14:ligatures w14:val="none"/>
    </w:rPr>
  </w:style>
  <w:style w:type="paragraph" w:customStyle="1" w:styleId="tabletext">
    <w:name w:val="table_text"/>
    <w:basedOn w:val="Normal"/>
    <w:link w:val="tabletextChar"/>
    <w:uiPriority w:val="1"/>
    <w:qFormat/>
    <w:rsid w:val="7E232D87"/>
    <w:pPr>
      <w:keepLines/>
      <w:spacing w:before="120" w:after="120" w:line="200" w:lineRule="atLeast"/>
    </w:pPr>
    <w:rPr>
      <w:rFonts w:ascii="Calibri" w:hAnsi="Calibri" w:cs="Times New Roman"/>
    </w:rPr>
  </w:style>
  <w:style w:type="character" w:customStyle="1" w:styleId="tabletextChar">
    <w:name w:val="table_text Char"/>
    <w:basedOn w:val="DefaultParagraphFont"/>
    <w:link w:val="tabletext"/>
    <w:uiPriority w:val="1"/>
    <w:rsid w:val="7E232D87"/>
    <w:rPr>
      <w:rFonts w:ascii="Calibri" w:eastAsia="Times New Roman" w:hAnsi="Calibri" w:cs="Calibri"/>
    </w:rPr>
  </w:style>
  <w:style w:type="character" w:styleId="FollowedHyperlink">
    <w:name w:val="FollowedHyperlink"/>
    <w:basedOn w:val="DefaultParagraphFont"/>
    <w:uiPriority w:val="99"/>
    <w:semiHidden/>
    <w:unhideWhenUsed/>
    <w:rsid w:val="00E174D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274624">
      <w:bodyDiv w:val="1"/>
      <w:marLeft w:val="0"/>
      <w:marRight w:val="0"/>
      <w:marTop w:val="0"/>
      <w:marBottom w:val="0"/>
      <w:divBdr>
        <w:top w:val="none" w:sz="0" w:space="0" w:color="auto"/>
        <w:left w:val="none" w:sz="0" w:space="0" w:color="auto"/>
        <w:bottom w:val="none" w:sz="0" w:space="0" w:color="auto"/>
        <w:right w:val="none" w:sz="0" w:space="0" w:color="auto"/>
      </w:divBdr>
    </w:div>
    <w:div w:id="330640895">
      <w:bodyDiv w:val="1"/>
      <w:marLeft w:val="0"/>
      <w:marRight w:val="0"/>
      <w:marTop w:val="0"/>
      <w:marBottom w:val="0"/>
      <w:divBdr>
        <w:top w:val="none" w:sz="0" w:space="0" w:color="auto"/>
        <w:left w:val="none" w:sz="0" w:space="0" w:color="auto"/>
        <w:bottom w:val="none" w:sz="0" w:space="0" w:color="auto"/>
        <w:right w:val="none" w:sz="0" w:space="0" w:color="auto"/>
      </w:divBdr>
    </w:div>
    <w:div w:id="378166014">
      <w:bodyDiv w:val="1"/>
      <w:marLeft w:val="0"/>
      <w:marRight w:val="0"/>
      <w:marTop w:val="0"/>
      <w:marBottom w:val="0"/>
      <w:divBdr>
        <w:top w:val="none" w:sz="0" w:space="0" w:color="auto"/>
        <w:left w:val="none" w:sz="0" w:space="0" w:color="auto"/>
        <w:bottom w:val="none" w:sz="0" w:space="0" w:color="auto"/>
        <w:right w:val="none" w:sz="0" w:space="0" w:color="auto"/>
      </w:divBdr>
      <w:divsChild>
        <w:div w:id="1936547738">
          <w:marLeft w:val="0"/>
          <w:marRight w:val="0"/>
          <w:marTop w:val="0"/>
          <w:marBottom w:val="0"/>
          <w:divBdr>
            <w:top w:val="none" w:sz="0" w:space="0" w:color="auto"/>
            <w:left w:val="none" w:sz="0" w:space="0" w:color="auto"/>
            <w:bottom w:val="none" w:sz="0" w:space="0" w:color="auto"/>
            <w:right w:val="none" w:sz="0" w:space="0" w:color="auto"/>
          </w:divBdr>
        </w:div>
        <w:div w:id="859705621">
          <w:marLeft w:val="0"/>
          <w:marRight w:val="0"/>
          <w:marTop w:val="0"/>
          <w:marBottom w:val="0"/>
          <w:divBdr>
            <w:top w:val="none" w:sz="0" w:space="0" w:color="auto"/>
            <w:left w:val="none" w:sz="0" w:space="0" w:color="auto"/>
            <w:bottom w:val="none" w:sz="0" w:space="0" w:color="auto"/>
            <w:right w:val="none" w:sz="0" w:space="0" w:color="auto"/>
          </w:divBdr>
        </w:div>
        <w:div w:id="1439716374">
          <w:marLeft w:val="0"/>
          <w:marRight w:val="0"/>
          <w:marTop w:val="0"/>
          <w:marBottom w:val="0"/>
          <w:divBdr>
            <w:top w:val="none" w:sz="0" w:space="0" w:color="auto"/>
            <w:left w:val="none" w:sz="0" w:space="0" w:color="auto"/>
            <w:bottom w:val="none" w:sz="0" w:space="0" w:color="auto"/>
            <w:right w:val="none" w:sz="0" w:space="0" w:color="auto"/>
          </w:divBdr>
        </w:div>
        <w:div w:id="1920285566">
          <w:marLeft w:val="0"/>
          <w:marRight w:val="0"/>
          <w:marTop w:val="0"/>
          <w:marBottom w:val="0"/>
          <w:divBdr>
            <w:top w:val="none" w:sz="0" w:space="0" w:color="auto"/>
            <w:left w:val="none" w:sz="0" w:space="0" w:color="auto"/>
            <w:bottom w:val="none" w:sz="0" w:space="0" w:color="auto"/>
            <w:right w:val="none" w:sz="0" w:space="0" w:color="auto"/>
          </w:divBdr>
        </w:div>
        <w:div w:id="1877742263">
          <w:marLeft w:val="0"/>
          <w:marRight w:val="0"/>
          <w:marTop w:val="0"/>
          <w:marBottom w:val="0"/>
          <w:divBdr>
            <w:top w:val="none" w:sz="0" w:space="0" w:color="auto"/>
            <w:left w:val="none" w:sz="0" w:space="0" w:color="auto"/>
            <w:bottom w:val="none" w:sz="0" w:space="0" w:color="auto"/>
            <w:right w:val="none" w:sz="0" w:space="0" w:color="auto"/>
          </w:divBdr>
        </w:div>
        <w:div w:id="199249100">
          <w:marLeft w:val="0"/>
          <w:marRight w:val="0"/>
          <w:marTop w:val="0"/>
          <w:marBottom w:val="0"/>
          <w:divBdr>
            <w:top w:val="none" w:sz="0" w:space="0" w:color="auto"/>
            <w:left w:val="none" w:sz="0" w:space="0" w:color="auto"/>
            <w:bottom w:val="none" w:sz="0" w:space="0" w:color="auto"/>
            <w:right w:val="none" w:sz="0" w:space="0" w:color="auto"/>
          </w:divBdr>
        </w:div>
        <w:div w:id="1132596354">
          <w:marLeft w:val="0"/>
          <w:marRight w:val="0"/>
          <w:marTop w:val="0"/>
          <w:marBottom w:val="0"/>
          <w:divBdr>
            <w:top w:val="none" w:sz="0" w:space="0" w:color="auto"/>
            <w:left w:val="none" w:sz="0" w:space="0" w:color="auto"/>
            <w:bottom w:val="none" w:sz="0" w:space="0" w:color="auto"/>
            <w:right w:val="none" w:sz="0" w:space="0" w:color="auto"/>
          </w:divBdr>
        </w:div>
        <w:div w:id="1899854417">
          <w:marLeft w:val="0"/>
          <w:marRight w:val="0"/>
          <w:marTop w:val="0"/>
          <w:marBottom w:val="0"/>
          <w:divBdr>
            <w:top w:val="none" w:sz="0" w:space="0" w:color="auto"/>
            <w:left w:val="none" w:sz="0" w:space="0" w:color="auto"/>
            <w:bottom w:val="none" w:sz="0" w:space="0" w:color="auto"/>
            <w:right w:val="none" w:sz="0" w:space="0" w:color="auto"/>
          </w:divBdr>
        </w:div>
        <w:div w:id="696782604">
          <w:marLeft w:val="0"/>
          <w:marRight w:val="0"/>
          <w:marTop w:val="0"/>
          <w:marBottom w:val="0"/>
          <w:divBdr>
            <w:top w:val="none" w:sz="0" w:space="0" w:color="auto"/>
            <w:left w:val="none" w:sz="0" w:space="0" w:color="auto"/>
            <w:bottom w:val="none" w:sz="0" w:space="0" w:color="auto"/>
            <w:right w:val="none" w:sz="0" w:space="0" w:color="auto"/>
          </w:divBdr>
        </w:div>
        <w:div w:id="1213081251">
          <w:marLeft w:val="0"/>
          <w:marRight w:val="0"/>
          <w:marTop w:val="0"/>
          <w:marBottom w:val="0"/>
          <w:divBdr>
            <w:top w:val="none" w:sz="0" w:space="0" w:color="auto"/>
            <w:left w:val="none" w:sz="0" w:space="0" w:color="auto"/>
            <w:bottom w:val="none" w:sz="0" w:space="0" w:color="auto"/>
            <w:right w:val="none" w:sz="0" w:space="0" w:color="auto"/>
          </w:divBdr>
        </w:div>
        <w:div w:id="1396009629">
          <w:marLeft w:val="0"/>
          <w:marRight w:val="0"/>
          <w:marTop w:val="0"/>
          <w:marBottom w:val="0"/>
          <w:divBdr>
            <w:top w:val="none" w:sz="0" w:space="0" w:color="auto"/>
            <w:left w:val="none" w:sz="0" w:space="0" w:color="auto"/>
            <w:bottom w:val="none" w:sz="0" w:space="0" w:color="auto"/>
            <w:right w:val="none" w:sz="0" w:space="0" w:color="auto"/>
          </w:divBdr>
        </w:div>
        <w:div w:id="575672770">
          <w:marLeft w:val="0"/>
          <w:marRight w:val="0"/>
          <w:marTop w:val="0"/>
          <w:marBottom w:val="0"/>
          <w:divBdr>
            <w:top w:val="none" w:sz="0" w:space="0" w:color="auto"/>
            <w:left w:val="none" w:sz="0" w:space="0" w:color="auto"/>
            <w:bottom w:val="none" w:sz="0" w:space="0" w:color="auto"/>
            <w:right w:val="none" w:sz="0" w:space="0" w:color="auto"/>
          </w:divBdr>
        </w:div>
        <w:div w:id="1464730112">
          <w:marLeft w:val="0"/>
          <w:marRight w:val="0"/>
          <w:marTop w:val="0"/>
          <w:marBottom w:val="0"/>
          <w:divBdr>
            <w:top w:val="none" w:sz="0" w:space="0" w:color="auto"/>
            <w:left w:val="none" w:sz="0" w:space="0" w:color="auto"/>
            <w:bottom w:val="none" w:sz="0" w:space="0" w:color="auto"/>
            <w:right w:val="none" w:sz="0" w:space="0" w:color="auto"/>
          </w:divBdr>
        </w:div>
        <w:div w:id="906691424">
          <w:marLeft w:val="0"/>
          <w:marRight w:val="0"/>
          <w:marTop w:val="0"/>
          <w:marBottom w:val="0"/>
          <w:divBdr>
            <w:top w:val="none" w:sz="0" w:space="0" w:color="auto"/>
            <w:left w:val="none" w:sz="0" w:space="0" w:color="auto"/>
            <w:bottom w:val="none" w:sz="0" w:space="0" w:color="auto"/>
            <w:right w:val="none" w:sz="0" w:space="0" w:color="auto"/>
          </w:divBdr>
        </w:div>
        <w:div w:id="64227565">
          <w:marLeft w:val="0"/>
          <w:marRight w:val="0"/>
          <w:marTop w:val="0"/>
          <w:marBottom w:val="0"/>
          <w:divBdr>
            <w:top w:val="none" w:sz="0" w:space="0" w:color="auto"/>
            <w:left w:val="none" w:sz="0" w:space="0" w:color="auto"/>
            <w:bottom w:val="none" w:sz="0" w:space="0" w:color="auto"/>
            <w:right w:val="none" w:sz="0" w:space="0" w:color="auto"/>
          </w:divBdr>
        </w:div>
        <w:div w:id="1939681451">
          <w:marLeft w:val="0"/>
          <w:marRight w:val="0"/>
          <w:marTop w:val="0"/>
          <w:marBottom w:val="0"/>
          <w:divBdr>
            <w:top w:val="none" w:sz="0" w:space="0" w:color="auto"/>
            <w:left w:val="none" w:sz="0" w:space="0" w:color="auto"/>
            <w:bottom w:val="none" w:sz="0" w:space="0" w:color="auto"/>
            <w:right w:val="none" w:sz="0" w:space="0" w:color="auto"/>
          </w:divBdr>
        </w:div>
        <w:div w:id="624502213">
          <w:marLeft w:val="0"/>
          <w:marRight w:val="0"/>
          <w:marTop w:val="0"/>
          <w:marBottom w:val="0"/>
          <w:divBdr>
            <w:top w:val="none" w:sz="0" w:space="0" w:color="auto"/>
            <w:left w:val="none" w:sz="0" w:space="0" w:color="auto"/>
            <w:bottom w:val="none" w:sz="0" w:space="0" w:color="auto"/>
            <w:right w:val="none" w:sz="0" w:space="0" w:color="auto"/>
          </w:divBdr>
        </w:div>
      </w:divsChild>
    </w:div>
    <w:div w:id="674070458">
      <w:bodyDiv w:val="1"/>
      <w:marLeft w:val="0"/>
      <w:marRight w:val="0"/>
      <w:marTop w:val="0"/>
      <w:marBottom w:val="0"/>
      <w:divBdr>
        <w:top w:val="none" w:sz="0" w:space="0" w:color="auto"/>
        <w:left w:val="none" w:sz="0" w:space="0" w:color="auto"/>
        <w:bottom w:val="none" w:sz="0" w:space="0" w:color="auto"/>
        <w:right w:val="none" w:sz="0" w:space="0" w:color="auto"/>
      </w:divBdr>
    </w:div>
    <w:div w:id="1584141350">
      <w:bodyDiv w:val="1"/>
      <w:marLeft w:val="0"/>
      <w:marRight w:val="0"/>
      <w:marTop w:val="0"/>
      <w:marBottom w:val="0"/>
      <w:divBdr>
        <w:top w:val="none" w:sz="0" w:space="0" w:color="auto"/>
        <w:left w:val="none" w:sz="0" w:space="0" w:color="auto"/>
        <w:bottom w:val="none" w:sz="0" w:space="0" w:color="auto"/>
        <w:right w:val="none" w:sz="0" w:space="0" w:color="auto"/>
      </w:divBdr>
    </w:div>
    <w:div w:id="2053655298">
      <w:bodyDiv w:val="1"/>
      <w:marLeft w:val="0"/>
      <w:marRight w:val="0"/>
      <w:marTop w:val="0"/>
      <w:marBottom w:val="0"/>
      <w:divBdr>
        <w:top w:val="none" w:sz="0" w:space="0" w:color="auto"/>
        <w:left w:val="none" w:sz="0" w:space="0" w:color="auto"/>
        <w:bottom w:val="none" w:sz="0" w:space="0" w:color="auto"/>
        <w:right w:val="none" w:sz="0" w:space="0" w:color="auto"/>
      </w:divBdr>
      <w:divsChild>
        <w:div w:id="1979987747">
          <w:marLeft w:val="0"/>
          <w:marRight w:val="0"/>
          <w:marTop w:val="0"/>
          <w:marBottom w:val="0"/>
          <w:divBdr>
            <w:top w:val="none" w:sz="0" w:space="0" w:color="auto"/>
            <w:left w:val="none" w:sz="0" w:space="0" w:color="auto"/>
            <w:bottom w:val="none" w:sz="0" w:space="0" w:color="auto"/>
            <w:right w:val="none" w:sz="0" w:space="0" w:color="auto"/>
          </w:divBdr>
        </w:div>
        <w:div w:id="1343243089">
          <w:marLeft w:val="0"/>
          <w:marRight w:val="0"/>
          <w:marTop w:val="0"/>
          <w:marBottom w:val="0"/>
          <w:divBdr>
            <w:top w:val="none" w:sz="0" w:space="0" w:color="auto"/>
            <w:left w:val="none" w:sz="0" w:space="0" w:color="auto"/>
            <w:bottom w:val="none" w:sz="0" w:space="0" w:color="auto"/>
            <w:right w:val="none" w:sz="0" w:space="0" w:color="auto"/>
          </w:divBdr>
        </w:div>
        <w:div w:id="644312178">
          <w:marLeft w:val="0"/>
          <w:marRight w:val="0"/>
          <w:marTop w:val="0"/>
          <w:marBottom w:val="0"/>
          <w:divBdr>
            <w:top w:val="none" w:sz="0" w:space="0" w:color="auto"/>
            <w:left w:val="none" w:sz="0" w:space="0" w:color="auto"/>
            <w:bottom w:val="none" w:sz="0" w:space="0" w:color="auto"/>
            <w:right w:val="none" w:sz="0" w:space="0" w:color="auto"/>
          </w:divBdr>
        </w:div>
        <w:div w:id="139663705">
          <w:marLeft w:val="0"/>
          <w:marRight w:val="0"/>
          <w:marTop w:val="0"/>
          <w:marBottom w:val="0"/>
          <w:divBdr>
            <w:top w:val="none" w:sz="0" w:space="0" w:color="auto"/>
            <w:left w:val="none" w:sz="0" w:space="0" w:color="auto"/>
            <w:bottom w:val="none" w:sz="0" w:space="0" w:color="auto"/>
            <w:right w:val="none" w:sz="0" w:space="0" w:color="auto"/>
          </w:divBdr>
        </w:div>
        <w:div w:id="1996100803">
          <w:marLeft w:val="0"/>
          <w:marRight w:val="0"/>
          <w:marTop w:val="0"/>
          <w:marBottom w:val="0"/>
          <w:divBdr>
            <w:top w:val="none" w:sz="0" w:space="0" w:color="auto"/>
            <w:left w:val="none" w:sz="0" w:space="0" w:color="auto"/>
            <w:bottom w:val="none" w:sz="0" w:space="0" w:color="auto"/>
            <w:right w:val="none" w:sz="0" w:space="0" w:color="auto"/>
          </w:divBdr>
        </w:div>
        <w:div w:id="338847238">
          <w:marLeft w:val="0"/>
          <w:marRight w:val="0"/>
          <w:marTop w:val="0"/>
          <w:marBottom w:val="0"/>
          <w:divBdr>
            <w:top w:val="none" w:sz="0" w:space="0" w:color="auto"/>
            <w:left w:val="none" w:sz="0" w:space="0" w:color="auto"/>
            <w:bottom w:val="none" w:sz="0" w:space="0" w:color="auto"/>
            <w:right w:val="none" w:sz="0" w:space="0" w:color="auto"/>
          </w:divBdr>
        </w:div>
        <w:div w:id="421610866">
          <w:marLeft w:val="0"/>
          <w:marRight w:val="0"/>
          <w:marTop w:val="0"/>
          <w:marBottom w:val="0"/>
          <w:divBdr>
            <w:top w:val="none" w:sz="0" w:space="0" w:color="auto"/>
            <w:left w:val="none" w:sz="0" w:space="0" w:color="auto"/>
            <w:bottom w:val="none" w:sz="0" w:space="0" w:color="auto"/>
            <w:right w:val="none" w:sz="0" w:space="0" w:color="auto"/>
          </w:divBdr>
        </w:div>
        <w:div w:id="1322080302">
          <w:marLeft w:val="0"/>
          <w:marRight w:val="0"/>
          <w:marTop w:val="0"/>
          <w:marBottom w:val="0"/>
          <w:divBdr>
            <w:top w:val="none" w:sz="0" w:space="0" w:color="auto"/>
            <w:left w:val="none" w:sz="0" w:space="0" w:color="auto"/>
            <w:bottom w:val="none" w:sz="0" w:space="0" w:color="auto"/>
            <w:right w:val="none" w:sz="0" w:space="0" w:color="auto"/>
          </w:divBdr>
        </w:div>
        <w:div w:id="1826313798">
          <w:marLeft w:val="0"/>
          <w:marRight w:val="0"/>
          <w:marTop w:val="0"/>
          <w:marBottom w:val="0"/>
          <w:divBdr>
            <w:top w:val="none" w:sz="0" w:space="0" w:color="auto"/>
            <w:left w:val="none" w:sz="0" w:space="0" w:color="auto"/>
            <w:bottom w:val="none" w:sz="0" w:space="0" w:color="auto"/>
            <w:right w:val="none" w:sz="0" w:space="0" w:color="auto"/>
          </w:divBdr>
        </w:div>
        <w:div w:id="1474903797">
          <w:marLeft w:val="0"/>
          <w:marRight w:val="0"/>
          <w:marTop w:val="0"/>
          <w:marBottom w:val="0"/>
          <w:divBdr>
            <w:top w:val="none" w:sz="0" w:space="0" w:color="auto"/>
            <w:left w:val="none" w:sz="0" w:space="0" w:color="auto"/>
            <w:bottom w:val="none" w:sz="0" w:space="0" w:color="auto"/>
            <w:right w:val="none" w:sz="0" w:space="0" w:color="auto"/>
          </w:divBdr>
        </w:div>
        <w:div w:id="1179388281">
          <w:marLeft w:val="0"/>
          <w:marRight w:val="0"/>
          <w:marTop w:val="0"/>
          <w:marBottom w:val="0"/>
          <w:divBdr>
            <w:top w:val="none" w:sz="0" w:space="0" w:color="auto"/>
            <w:left w:val="none" w:sz="0" w:space="0" w:color="auto"/>
            <w:bottom w:val="none" w:sz="0" w:space="0" w:color="auto"/>
            <w:right w:val="none" w:sz="0" w:space="0" w:color="auto"/>
          </w:divBdr>
        </w:div>
        <w:div w:id="1821574457">
          <w:marLeft w:val="0"/>
          <w:marRight w:val="0"/>
          <w:marTop w:val="0"/>
          <w:marBottom w:val="0"/>
          <w:divBdr>
            <w:top w:val="none" w:sz="0" w:space="0" w:color="auto"/>
            <w:left w:val="none" w:sz="0" w:space="0" w:color="auto"/>
            <w:bottom w:val="none" w:sz="0" w:space="0" w:color="auto"/>
            <w:right w:val="none" w:sz="0" w:space="0" w:color="auto"/>
          </w:divBdr>
        </w:div>
        <w:div w:id="1931158408">
          <w:marLeft w:val="0"/>
          <w:marRight w:val="0"/>
          <w:marTop w:val="0"/>
          <w:marBottom w:val="0"/>
          <w:divBdr>
            <w:top w:val="none" w:sz="0" w:space="0" w:color="auto"/>
            <w:left w:val="none" w:sz="0" w:space="0" w:color="auto"/>
            <w:bottom w:val="none" w:sz="0" w:space="0" w:color="auto"/>
            <w:right w:val="none" w:sz="0" w:space="0" w:color="auto"/>
          </w:divBdr>
        </w:div>
        <w:div w:id="865679400">
          <w:marLeft w:val="0"/>
          <w:marRight w:val="0"/>
          <w:marTop w:val="0"/>
          <w:marBottom w:val="0"/>
          <w:divBdr>
            <w:top w:val="none" w:sz="0" w:space="0" w:color="auto"/>
            <w:left w:val="none" w:sz="0" w:space="0" w:color="auto"/>
            <w:bottom w:val="none" w:sz="0" w:space="0" w:color="auto"/>
            <w:right w:val="none" w:sz="0" w:space="0" w:color="auto"/>
          </w:divBdr>
        </w:div>
        <w:div w:id="2004577019">
          <w:marLeft w:val="0"/>
          <w:marRight w:val="0"/>
          <w:marTop w:val="0"/>
          <w:marBottom w:val="0"/>
          <w:divBdr>
            <w:top w:val="none" w:sz="0" w:space="0" w:color="auto"/>
            <w:left w:val="none" w:sz="0" w:space="0" w:color="auto"/>
            <w:bottom w:val="none" w:sz="0" w:space="0" w:color="auto"/>
            <w:right w:val="none" w:sz="0" w:space="0" w:color="auto"/>
          </w:divBdr>
        </w:div>
        <w:div w:id="905720116">
          <w:marLeft w:val="0"/>
          <w:marRight w:val="0"/>
          <w:marTop w:val="0"/>
          <w:marBottom w:val="0"/>
          <w:divBdr>
            <w:top w:val="none" w:sz="0" w:space="0" w:color="auto"/>
            <w:left w:val="none" w:sz="0" w:space="0" w:color="auto"/>
            <w:bottom w:val="none" w:sz="0" w:space="0" w:color="auto"/>
            <w:right w:val="none" w:sz="0" w:space="0" w:color="auto"/>
          </w:divBdr>
        </w:div>
        <w:div w:id="664163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i.org/10.1038/s44304-024-00051-6"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oi.org/10.1038/s44304-024-00051-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df47014-3b90-44da-8809-92e37619a559">
      <UserInfo>
        <DisplayName/>
        <AccountId xsi:nil="true"/>
        <AccountType/>
      </UserInfo>
    </SharedWithUsers>
    <lcf76f155ced4ddcb4097134ff3c332f xmlns="f2fa9937-d613-426a-96f4-39ae53b451a3">
      <Terms xmlns="http://schemas.microsoft.com/office/infopath/2007/PartnerControls"/>
    </lcf76f155ced4ddcb4097134ff3c332f>
    <TaxCatchAll xmlns="7df47014-3b90-44da-8809-92e37619a55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5AE658FBD9946BDDF4EDC025BED30" ma:contentTypeVersion="13" ma:contentTypeDescription="Create a new document." ma:contentTypeScope="" ma:versionID="dc60d7d01904185ff39711971a21d0ce">
  <xsd:schema xmlns:xsd="http://www.w3.org/2001/XMLSchema" xmlns:xs="http://www.w3.org/2001/XMLSchema" xmlns:p="http://schemas.microsoft.com/office/2006/metadata/properties" xmlns:ns2="f2fa9937-d613-426a-96f4-39ae53b451a3" xmlns:ns3="7df47014-3b90-44da-8809-92e37619a559" targetNamespace="http://schemas.microsoft.com/office/2006/metadata/properties" ma:root="true" ma:fieldsID="f6bed5391bcc1ee110e68dadd85f2ae8" ns2:_="" ns3:_="">
    <xsd:import namespace="f2fa9937-d613-426a-96f4-39ae53b451a3"/>
    <xsd:import namespace="7df47014-3b90-44da-8809-92e37619a55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a9937-d613-426a-96f4-39ae53b451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f47014-3b90-44da-8809-92e37619a5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e99c185-4640-41a0-9e94-5521d38edfc8}" ma:internalName="TaxCatchAll" ma:showField="CatchAllData" ma:web="7df47014-3b90-44da-8809-92e37619a5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29B455-3E1D-4E7E-BECF-BAA19AAC3167}">
  <ds:schemaRefs>
    <ds:schemaRef ds:uri="http://schemas.microsoft.com/office/2006/metadata/properties"/>
    <ds:schemaRef ds:uri="http://schemas.microsoft.com/office/infopath/2007/PartnerControls"/>
    <ds:schemaRef ds:uri="7df47014-3b90-44da-8809-92e37619a559"/>
    <ds:schemaRef ds:uri="f2fa9937-d613-426a-96f4-39ae53b451a3"/>
  </ds:schemaRefs>
</ds:datastoreItem>
</file>

<file path=customXml/itemProps2.xml><?xml version="1.0" encoding="utf-8"?>
<ds:datastoreItem xmlns:ds="http://schemas.openxmlformats.org/officeDocument/2006/customXml" ds:itemID="{247B3DF6-5D4A-491E-A9A8-35830D4B30B2}">
  <ds:schemaRefs>
    <ds:schemaRef ds:uri="http://schemas.microsoft.com/sharepoint/v3/contenttype/forms"/>
  </ds:schemaRefs>
</ds:datastoreItem>
</file>

<file path=customXml/itemProps3.xml><?xml version="1.0" encoding="utf-8"?>
<ds:datastoreItem xmlns:ds="http://schemas.openxmlformats.org/officeDocument/2006/customXml" ds:itemID="{42021A87-F674-4BCD-99BE-C2160BA5B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a9937-d613-426a-96f4-39ae53b451a3"/>
    <ds:schemaRef ds:uri="7df47014-3b90-44da-8809-92e37619a5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Quick</dc:creator>
  <cp:keywords/>
  <dc:description/>
  <cp:lastModifiedBy>Jasmine Hunter</cp:lastModifiedBy>
  <cp:revision>3</cp:revision>
  <dcterms:created xsi:type="dcterms:W3CDTF">2025-07-08T13:39:00Z</dcterms:created>
  <dcterms:modified xsi:type="dcterms:W3CDTF">2025-07-10T10:10:00Z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0x0101000625AE658FBD9946BDDF4EDC025BED30</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{"FileActivityType":"9","FileActivityTimeStamp":"2025-03-06T15:04:41.860Z","FileActivityUsersOnPage":[{"DisplayName":"Richard Williams","Id":"richard.williams@glasgow.ac.uk"},{"DisplayName":"Richard Williams","Id":"richard.williams@glasgow.ac.uk"},{"DisplayName":"Pammie Tolentino","Id":"pammie.tolentino@glasgow.ac.uk"}],"FileActivityNavigationId":null}</vt:lpwstr>
  </property>
  <property fmtid="{D5CDD505-2E9C-101B-9397-08002B2CF9AE}" pid="7" name="TriggerFlowInfo">
    <vt:lpwstr/>
  </property>
</Properties>
</file>