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F4CC" w14:textId="77777777" w:rsidR="00C7234F" w:rsidRDefault="00C7234F" w:rsidP="00C7234F">
      <w:pPr>
        <w:pStyle w:val="Heading1"/>
      </w:pPr>
      <w:bookmarkStart w:id="0" w:name="_Toc231226892"/>
      <w:r w:rsidRPr="00C7234F">
        <w:t>Sediment Particle Size Distribution from Old Hall and Warton Bank Salt Marshes, England, Winter and Summer 2025</w:t>
      </w:r>
      <w:bookmarkEnd w:id="0"/>
    </w:p>
    <w:p w14:paraId="0466E256" w14:textId="3E3B5564" w:rsidR="00C7234F" w:rsidRDefault="00C7234F" w:rsidP="00C7234F">
      <w:pPr>
        <w:spacing w:after="0"/>
      </w:pPr>
      <w:r>
        <w:t>M</w:t>
      </w:r>
      <w:r w:rsidR="00EB1A39">
        <w:t>.</w:t>
      </w:r>
      <w:r>
        <w:t xml:space="preserve"> P. Perring</w:t>
      </w:r>
      <w:r>
        <w:rPr>
          <w:vertAlign w:val="superscript"/>
        </w:rPr>
        <w:t>1</w:t>
      </w:r>
      <w:r>
        <w:t>, S</w:t>
      </w:r>
      <w:r w:rsidR="00EB1A39">
        <w:t>.</w:t>
      </w:r>
      <w:r>
        <w:t xml:space="preserve"> Tandy</w:t>
      </w:r>
      <w:r>
        <w:rPr>
          <w:vertAlign w:val="superscript"/>
        </w:rPr>
        <w:t>1</w:t>
      </w:r>
      <w:r>
        <w:t>, P</w:t>
      </w:r>
      <w:r w:rsidR="00EB1A39">
        <w:t>.</w:t>
      </w:r>
      <w:r>
        <w:t xml:space="preserve"> M</w:t>
      </w:r>
      <w:r w:rsidR="00EB1A39">
        <w:t>.</w:t>
      </w:r>
      <w:r>
        <w:t xml:space="preserve"> de la Barra</w:t>
      </w:r>
      <w:r>
        <w:rPr>
          <w:vertAlign w:val="superscript"/>
        </w:rPr>
        <w:t>1</w:t>
      </w:r>
      <w:r>
        <w:t>, D</w:t>
      </w:r>
      <w:r w:rsidR="00EB1A39">
        <w:t>.</w:t>
      </w:r>
      <w:r>
        <w:t xml:space="preserve"> Aberg</w:t>
      </w:r>
      <w:r>
        <w:rPr>
          <w:vertAlign w:val="superscript"/>
        </w:rPr>
        <w:t>2</w:t>
      </w:r>
      <w:r>
        <w:t>,</w:t>
      </w:r>
      <w:r w:rsidRPr="0022093C">
        <w:t xml:space="preserve"> </w:t>
      </w:r>
      <w:r>
        <w:t>J</w:t>
      </w:r>
      <w:r w:rsidR="00EB1A39">
        <w:t>.</w:t>
      </w:r>
      <w:r>
        <w:t xml:space="preserve"> Harley</w:t>
      </w:r>
      <w:r>
        <w:rPr>
          <w:vertAlign w:val="superscript"/>
        </w:rPr>
        <w:t>1</w:t>
      </w:r>
      <w:r>
        <w:t>, S</w:t>
      </w:r>
      <w:r w:rsidR="00EB1A39">
        <w:t>.</w:t>
      </w:r>
      <w:r>
        <w:t xml:space="preserve"> Marshall-Potter</w:t>
      </w:r>
      <w:r>
        <w:rPr>
          <w:vertAlign w:val="superscript"/>
        </w:rPr>
        <w:t>2</w:t>
      </w:r>
      <w:r>
        <w:t>, T</w:t>
      </w:r>
      <w:r w:rsidR="00EB1A39">
        <w:t>.</w:t>
      </w:r>
      <w:r>
        <w:t xml:space="preserve"> Oswald</w:t>
      </w:r>
      <w:r>
        <w:rPr>
          <w:vertAlign w:val="superscript"/>
        </w:rPr>
        <w:t>2</w:t>
      </w:r>
      <w:r>
        <w:t>, S</w:t>
      </w:r>
      <w:r w:rsidR="00EB1A39">
        <w:t>.</w:t>
      </w:r>
      <w:r>
        <w:t xml:space="preserve"> Oakley</w:t>
      </w:r>
      <w:r>
        <w:rPr>
          <w:vertAlign w:val="superscript"/>
        </w:rPr>
        <w:t>3</w:t>
      </w:r>
      <w:r w:rsidRPr="00895D1F">
        <w:t>, V</w:t>
      </w:r>
      <w:r w:rsidR="00EB1A39">
        <w:t>.</w:t>
      </w:r>
      <w:r w:rsidRPr="00895D1F">
        <w:t xml:space="preserve"> Ebuele</w:t>
      </w:r>
      <w:r w:rsidRPr="00895D1F">
        <w:rPr>
          <w:vertAlign w:val="superscript"/>
        </w:rPr>
        <w:t>1</w:t>
      </w:r>
      <w:r>
        <w:t xml:space="preserve"> C</w:t>
      </w:r>
      <w:r w:rsidR="00EB1A39">
        <w:t>.</w:t>
      </w:r>
      <w:r>
        <w:t xml:space="preserve"> Dunn</w:t>
      </w:r>
      <w:r>
        <w:rPr>
          <w:vertAlign w:val="superscript"/>
        </w:rPr>
        <w:t>2</w:t>
      </w:r>
      <w:r>
        <w:t>, A</w:t>
      </w:r>
      <w:r w:rsidR="00EB1A39">
        <w:t>.</w:t>
      </w:r>
      <w:r>
        <w:t xml:space="preserve"> Burden</w:t>
      </w:r>
      <w:r>
        <w:rPr>
          <w:vertAlign w:val="superscript"/>
        </w:rPr>
        <w:t>1</w:t>
      </w:r>
      <w:r>
        <w:t>,</w:t>
      </w:r>
      <w:r w:rsidRPr="0022093C">
        <w:t xml:space="preserve"> </w:t>
      </w:r>
      <w:r>
        <w:t>A</w:t>
      </w:r>
      <w:r w:rsidR="00EB1A39">
        <w:t>.</w:t>
      </w:r>
      <w:r>
        <w:t xml:space="preserve"> Garbutt</w:t>
      </w:r>
      <w:r>
        <w:rPr>
          <w:vertAlign w:val="superscript"/>
        </w:rPr>
        <w:t>1</w:t>
      </w:r>
      <w:r>
        <w:t xml:space="preserve">. </w:t>
      </w:r>
    </w:p>
    <w:p w14:paraId="510E8607" w14:textId="70944D50" w:rsidR="00C7234F" w:rsidRPr="00DC1275" w:rsidRDefault="00C7234F" w:rsidP="00C7234F">
      <w:pPr>
        <w:spacing w:after="0"/>
        <w:rPr>
          <w:b/>
          <w:bCs/>
        </w:rPr>
      </w:pPr>
      <w:r w:rsidRPr="00DC1275">
        <w:rPr>
          <w:b/>
          <w:bCs/>
        </w:rPr>
        <w:t xml:space="preserve">Addresses: </w:t>
      </w:r>
    </w:p>
    <w:p w14:paraId="3538A445" w14:textId="77777777" w:rsidR="00C7234F" w:rsidRDefault="00C7234F" w:rsidP="00C7234F">
      <w:r w:rsidRPr="007C4FCA">
        <w:rPr>
          <w:vertAlign w:val="superscript"/>
        </w:rPr>
        <w:t>1</w:t>
      </w:r>
      <w:r>
        <w:t>: UK Centre for Ecology &amp; Hydrology, Environment Centre Wales, Deiniol Road, Bangor LL57 2UW UNITED KINGDOM</w:t>
      </w:r>
    </w:p>
    <w:p w14:paraId="5902A9DB" w14:textId="77777777" w:rsidR="00C7234F" w:rsidRDefault="00C7234F" w:rsidP="00C7234F">
      <w:r w:rsidRPr="007C4FCA">
        <w:rPr>
          <w:vertAlign w:val="superscript"/>
        </w:rPr>
        <w:t>2</w:t>
      </w:r>
      <w:r w:rsidRPr="007C4FCA">
        <w:t>: School of Environmental and Natural Sciences,</w:t>
      </w:r>
      <w:r>
        <w:t xml:space="preserve"> Bangor University, Deiniol Road, Bangor LL57 2UW UNITED KINGDOM</w:t>
      </w:r>
    </w:p>
    <w:p w14:paraId="563B18A4" w14:textId="77777777" w:rsidR="00C7234F" w:rsidRDefault="00C7234F" w:rsidP="00C7234F">
      <w:r w:rsidRPr="007C4FCA">
        <w:rPr>
          <w:vertAlign w:val="superscript"/>
        </w:rPr>
        <w:t>3</w:t>
      </w:r>
      <w:r>
        <w:t>: UK Centre for Ecology &amp; Hydrology, Library Avenue, Bailrigg, Lancaster LA1 4AP UNITED KINGDOM</w:t>
      </w:r>
    </w:p>
    <w:p w14:paraId="079C3EE3" w14:textId="77777777" w:rsidR="00C7234F" w:rsidRDefault="00C7234F" w:rsidP="00C7234F"/>
    <w:p w14:paraId="001F3438" w14:textId="5A66C4EC" w:rsidR="00C7234F" w:rsidRDefault="00C7234F" w:rsidP="00C7234F">
      <w:pPr>
        <w:pStyle w:val="Heading2"/>
      </w:pPr>
      <w:bookmarkStart w:id="1" w:name="_Toc231226893"/>
      <w:r>
        <w:t>Summary</w:t>
      </w:r>
      <w:bookmarkEnd w:id="1"/>
    </w:p>
    <w:p w14:paraId="70F2D06B" w14:textId="442440AA" w:rsidR="00C7234F" w:rsidRDefault="00C7234F" w:rsidP="00C7234F">
      <w:pPr>
        <w:spacing w:before="240" w:after="120" w:line="276" w:lineRule="auto"/>
        <w:rPr>
          <w:szCs w:val="24"/>
        </w:rPr>
      </w:pPr>
      <w:r w:rsidRPr="003F3144">
        <w:rPr>
          <w:szCs w:val="24"/>
        </w:rPr>
        <w:t xml:space="preserve">A key ecosystem service in coastal systems is </w:t>
      </w:r>
      <w:r>
        <w:rPr>
          <w:szCs w:val="24"/>
        </w:rPr>
        <w:t xml:space="preserve">the </w:t>
      </w:r>
      <w:r w:rsidRPr="003F3144">
        <w:rPr>
          <w:szCs w:val="24"/>
        </w:rPr>
        <w:t>remediation of nutrient pollution through sediment burial, vegetative uptake and microbial processing. Denitrification is a facultative anaerobic process where microbial activity transforms nitrate (NO</w:t>
      </w:r>
      <w:r w:rsidRPr="003F3144">
        <w:rPr>
          <w:szCs w:val="24"/>
          <w:vertAlign w:val="subscript"/>
        </w:rPr>
        <w:t>3</w:t>
      </w:r>
      <w:r w:rsidRPr="003F3144">
        <w:rPr>
          <w:szCs w:val="24"/>
          <w:vertAlign w:val="superscript"/>
        </w:rPr>
        <w:t>-</w:t>
      </w:r>
      <w:r w:rsidRPr="003F3144">
        <w:rPr>
          <w:szCs w:val="24"/>
        </w:rPr>
        <w:t>), which in high concentrations can be environmentally harmful, into the environmentally benign dinitrogen gas (N</w:t>
      </w:r>
      <w:r w:rsidRPr="003F3144">
        <w:rPr>
          <w:szCs w:val="24"/>
          <w:vertAlign w:val="subscript"/>
        </w:rPr>
        <w:t>2</w:t>
      </w:r>
      <w:r w:rsidRPr="003F3144">
        <w:rPr>
          <w:szCs w:val="24"/>
        </w:rPr>
        <w:t>). Denitrification’s magnitude is considered particularly important in saltmarsh systems compared to other habitats</w:t>
      </w:r>
      <w:r>
        <w:rPr>
          <w:szCs w:val="24"/>
        </w:rPr>
        <w:t>.</w:t>
      </w:r>
    </w:p>
    <w:p w14:paraId="5F322B34" w14:textId="1D952AAB" w:rsidR="00C7234F" w:rsidRDefault="00C7234F" w:rsidP="00C7234F">
      <w:pPr>
        <w:spacing w:before="240" w:after="120" w:line="276" w:lineRule="auto"/>
      </w:pPr>
      <w:r>
        <w:t xml:space="preserve">Despite the appreciation of denitrification’s potential, there are limited available data in a British context on denitrification rates in saltmarsh sediments. Furthermore, there is a lack of information on relationships with potential driving and/or proxy variables that may be more cost-effectively determined than denitrification itself. At present, there is thus an urgent need to quantify both variation in denitrification rates, and relationships with proxy and/or potential driving variables. Here, we take advantage of samples taken recently with the porpoise of calculating denitrification </w:t>
      </w:r>
      <w:r w:rsidR="00271C99">
        <w:t>rates and</w:t>
      </w:r>
      <w:r>
        <w:t xml:space="preserve"> analyse the particle size distribution of that sediment.</w:t>
      </w:r>
    </w:p>
    <w:p w14:paraId="1B3ED7EC" w14:textId="4708308B" w:rsidR="0046218B" w:rsidRDefault="0046218B" w:rsidP="0046218B">
      <w:r>
        <w:t xml:space="preserve">Soil cores were </w:t>
      </w:r>
      <w:r w:rsidRPr="0046218B">
        <w:t xml:space="preserve">collected </w:t>
      </w:r>
      <w:r>
        <w:t xml:space="preserve">in winter </w:t>
      </w:r>
      <w:r w:rsidRPr="0046218B">
        <w:t>(December 2024 - January 2025</w:t>
      </w:r>
      <w:r>
        <w:t>) and summer (</w:t>
      </w:r>
      <w:r w:rsidRPr="0046218B">
        <w:t>June - July 2025)</w:t>
      </w:r>
      <w:r>
        <w:t>,</w:t>
      </w:r>
      <w:r w:rsidRPr="0046218B">
        <w:t xml:space="preserve"> from Warton Bank </w:t>
      </w:r>
      <w:r>
        <w:t xml:space="preserve">salt marsh </w:t>
      </w:r>
      <w:r w:rsidRPr="0046218B">
        <w:t xml:space="preserve">in the Ribble Estuary </w:t>
      </w:r>
      <w:r>
        <w:t xml:space="preserve">(northwest England) and </w:t>
      </w:r>
      <w:r w:rsidRPr="0046218B">
        <w:t xml:space="preserve">Old Hall </w:t>
      </w:r>
      <w:r>
        <w:t xml:space="preserve">salt marsh </w:t>
      </w:r>
      <w:r w:rsidRPr="0046218B">
        <w:t xml:space="preserve">in the Blackwater Estuary </w:t>
      </w:r>
      <w:r>
        <w:t>(</w:t>
      </w:r>
      <w:r w:rsidRPr="0046218B">
        <w:t>southeast</w:t>
      </w:r>
      <w:r>
        <w:t xml:space="preserve"> </w:t>
      </w:r>
      <w:r w:rsidRPr="0046218B">
        <w:t>England</w:t>
      </w:r>
      <w:r>
        <w:t>)</w:t>
      </w:r>
      <w:r w:rsidRPr="0046218B">
        <w:t xml:space="preserve">. </w:t>
      </w:r>
    </w:p>
    <w:p w14:paraId="3C201673" w14:textId="1BD03267" w:rsidR="00C7234F" w:rsidRPr="00C7234F" w:rsidRDefault="00C7234F" w:rsidP="0046218B">
      <w:pPr>
        <w:spacing w:before="240" w:after="120" w:line="276" w:lineRule="auto"/>
      </w:pPr>
      <w:r>
        <w:t>This data accompanies the technical report “</w:t>
      </w:r>
      <w:r w:rsidRPr="00C7234F">
        <w:t>Sediment particle size across two English saltmarshes</w:t>
      </w:r>
      <w:r>
        <w:t xml:space="preserve">” and is complementary to the datasets published at </w:t>
      </w:r>
      <w:hyperlink r:id="rId8" w:history="1">
        <w:r w:rsidRPr="00F906B6">
          <w:rPr>
            <w:rStyle w:val="Hyperlink"/>
          </w:rPr>
          <w:t>https://catalogue.ceh.ac.uk/id/26efc506-a265-4bb1-8296-d6988ab8d714</w:t>
        </w:r>
      </w:hyperlink>
      <w:r>
        <w:t xml:space="preserve"> and </w:t>
      </w:r>
      <w:hyperlink r:id="rId9" w:history="1">
        <w:r w:rsidR="0046218B" w:rsidRPr="007C0418">
          <w:rPr>
            <w:rStyle w:val="Hyperlink"/>
          </w:rPr>
          <w:t>https://doi.org/10.5285/fd918e24-4fd8-4e32-867a-b1a1fe74ce12</w:t>
        </w:r>
      </w:hyperlink>
      <w:r w:rsidR="0046218B">
        <w:t xml:space="preserve">, where denitrification rates are published. </w:t>
      </w:r>
    </w:p>
    <w:p w14:paraId="3C228F89" w14:textId="77777777" w:rsidR="00C7234F" w:rsidRDefault="00C7234F" w:rsidP="00C7234F"/>
    <w:sdt>
      <w:sdtPr>
        <w:rPr>
          <w:rFonts w:asciiTheme="minorHAnsi" w:eastAsiaTheme="minorHAnsi" w:hAnsiTheme="minorHAnsi" w:cstheme="minorBidi"/>
          <w:color w:val="auto"/>
          <w:kern w:val="2"/>
          <w:sz w:val="22"/>
          <w:szCs w:val="22"/>
          <w:lang w:eastAsia="en-US"/>
        </w:rPr>
        <w:id w:val="1909422235"/>
        <w:docPartObj>
          <w:docPartGallery w:val="Table of Contents"/>
          <w:docPartUnique/>
        </w:docPartObj>
      </w:sdtPr>
      <w:sdtEndPr>
        <w:rPr>
          <w:b/>
          <w:bCs/>
        </w:rPr>
      </w:sdtEndPr>
      <w:sdtContent>
        <w:p w14:paraId="308F3A31" w14:textId="0F39D68A" w:rsidR="0046218B" w:rsidRDefault="0046218B">
          <w:pPr>
            <w:pStyle w:val="TOCHeading"/>
          </w:pPr>
          <w:r>
            <w:t>Contents</w:t>
          </w:r>
        </w:p>
        <w:p w14:paraId="5A3CB60A" w14:textId="1F565EDF" w:rsidR="0046218B" w:rsidRDefault="0046218B">
          <w:pPr>
            <w:pStyle w:val="TOC1"/>
            <w:tabs>
              <w:tab w:val="right" w:leader="dot" w:pos="9016"/>
            </w:tabs>
            <w:rPr>
              <w:noProof/>
            </w:rPr>
          </w:pPr>
          <w:r>
            <w:fldChar w:fldCharType="begin"/>
          </w:r>
          <w:r>
            <w:instrText xml:space="preserve"> TOC \o "1-3" \h \z \u </w:instrText>
          </w:r>
          <w:r>
            <w:fldChar w:fldCharType="separate"/>
          </w:r>
          <w:hyperlink w:anchor="_Toc231226892" w:history="1">
            <w:r w:rsidRPr="00195F26">
              <w:rPr>
                <w:rStyle w:val="Hyperlink"/>
                <w:noProof/>
              </w:rPr>
              <w:t>Sediment Particle Size Distribution from Old Hall and Warton Bank Salt Marshes, England, Winter and Summer 2025</w:t>
            </w:r>
            <w:r>
              <w:rPr>
                <w:noProof/>
                <w:webHidden/>
              </w:rPr>
              <w:tab/>
            </w:r>
            <w:r>
              <w:rPr>
                <w:noProof/>
                <w:webHidden/>
              </w:rPr>
              <w:fldChar w:fldCharType="begin"/>
            </w:r>
            <w:r>
              <w:rPr>
                <w:noProof/>
                <w:webHidden/>
              </w:rPr>
              <w:instrText xml:space="preserve"> PAGEREF _Toc231226892 \h </w:instrText>
            </w:r>
            <w:r>
              <w:rPr>
                <w:noProof/>
                <w:webHidden/>
              </w:rPr>
            </w:r>
            <w:r>
              <w:rPr>
                <w:noProof/>
                <w:webHidden/>
              </w:rPr>
              <w:fldChar w:fldCharType="separate"/>
            </w:r>
            <w:r>
              <w:rPr>
                <w:noProof/>
                <w:webHidden/>
              </w:rPr>
              <w:t>1</w:t>
            </w:r>
            <w:r>
              <w:rPr>
                <w:noProof/>
                <w:webHidden/>
              </w:rPr>
              <w:fldChar w:fldCharType="end"/>
            </w:r>
          </w:hyperlink>
        </w:p>
        <w:p w14:paraId="662077EB" w14:textId="58024D9C" w:rsidR="0046218B" w:rsidRDefault="0046218B">
          <w:pPr>
            <w:pStyle w:val="TOC2"/>
            <w:tabs>
              <w:tab w:val="right" w:leader="dot" w:pos="9016"/>
            </w:tabs>
            <w:rPr>
              <w:noProof/>
            </w:rPr>
          </w:pPr>
          <w:hyperlink w:anchor="_Toc231226893" w:history="1">
            <w:r w:rsidRPr="00195F26">
              <w:rPr>
                <w:rStyle w:val="Hyperlink"/>
                <w:noProof/>
              </w:rPr>
              <w:t>Summary</w:t>
            </w:r>
            <w:r>
              <w:rPr>
                <w:noProof/>
                <w:webHidden/>
              </w:rPr>
              <w:tab/>
            </w:r>
            <w:r>
              <w:rPr>
                <w:noProof/>
                <w:webHidden/>
              </w:rPr>
              <w:fldChar w:fldCharType="begin"/>
            </w:r>
            <w:r>
              <w:rPr>
                <w:noProof/>
                <w:webHidden/>
              </w:rPr>
              <w:instrText xml:space="preserve"> PAGEREF _Toc231226893 \h </w:instrText>
            </w:r>
            <w:r>
              <w:rPr>
                <w:noProof/>
                <w:webHidden/>
              </w:rPr>
            </w:r>
            <w:r>
              <w:rPr>
                <w:noProof/>
                <w:webHidden/>
              </w:rPr>
              <w:fldChar w:fldCharType="separate"/>
            </w:r>
            <w:r>
              <w:rPr>
                <w:noProof/>
                <w:webHidden/>
              </w:rPr>
              <w:t>1</w:t>
            </w:r>
            <w:r>
              <w:rPr>
                <w:noProof/>
                <w:webHidden/>
              </w:rPr>
              <w:fldChar w:fldCharType="end"/>
            </w:r>
          </w:hyperlink>
        </w:p>
        <w:p w14:paraId="06A56DDB" w14:textId="18E5EABF" w:rsidR="0046218B" w:rsidRDefault="0046218B">
          <w:pPr>
            <w:pStyle w:val="TOC2"/>
            <w:tabs>
              <w:tab w:val="right" w:leader="dot" w:pos="9016"/>
            </w:tabs>
            <w:rPr>
              <w:noProof/>
            </w:rPr>
          </w:pPr>
          <w:hyperlink w:anchor="_Toc231226894" w:history="1">
            <w:r w:rsidRPr="00195F26">
              <w:rPr>
                <w:rStyle w:val="Hyperlink"/>
                <w:noProof/>
              </w:rPr>
              <w:t>Contents</w:t>
            </w:r>
            <w:r>
              <w:rPr>
                <w:noProof/>
                <w:webHidden/>
              </w:rPr>
              <w:tab/>
            </w:r>
            <w:r>
              <w:rPr>
                <w:noProof/>
                <w:webHidden/>
              </w:rPr>
              <w:fldChar w:fldCharType="begin"/>
            </w:r>
            <w:r>
              <w:rPr>
                <w:noProof/>
                <w:webHidden/>
              </w:rPr>
              <w:instrText xml:space="preserve"> PAGEREF _Toc231226894 \h </w:instrText>
            </w:r>
            <w:r>
              <w:rPr>
                <w:noProof/>
                <w:webHidden/>
              </w:rPr>
            </w:r>
            <w:r>
              <w:rPr>
                <w:noProof/>
                <w:webHidden/>
              </w:rPr>
              <w:fldChar w:fldCharType="separate"/>
            </w:r>
            <w:r>
              <w:rPr>
                <w:noProof/>
                <w:webHidden/>
              </w:rPr>
              <w:t>2</w:t>
            </w:r>
            <w:r>
              <w:rPr>
                <w:noProof/>
                <w:webHidden/>
              </w:rPr>
              <w:fldChar w:fldCharType="end"/>
            </w:r>
          </w:hyperlink>
        </w:p>
        <w:p w14:paraId="13742B3A" w14:textId="7C38ED3B" w:rsidR="0046218B" w:rsidRDefault="0046218B">
          <w:pPr>
            <w:pStyle w:val="TOC2"/>
            <w:tabs>
              <w:tab w:val="right" w:leader="dot" w:pos="9016"/>
            </w:tabs>
            <w:rPr>
              <w:noProof/>
            </w:rPr>
          </w:pPr>
          <w:hyperlink w:anchor="_Toc231226895" w:history="1">
            <w:r w:rsidRPr="00195F26">
              <w:rPr>
                <w:rStyle w:val="Hyperlink"/>
                <w:noProof/>
              </w:rPr>
              <w:t>Spatial and temporal coverage</w:t>
            </w:r>
            <w:r>
              <w:rPr>
                <w:noProof/>
                <w:webHidden/>
              </w:rPr>
              <w:tab/>
            </w:r>
            <w:r>
              <w:rPr>
                <w:noProof/>
                <w:webHidden/>
              </w:rPr>
              <w:fldChar w:fldCharType="begin"/>
            </w:r>
            <w:r>
              <w:rPr>
                <w:noProof/>
                <w:webHidden/>
              </w:rPr>
              <w:instrText xml:space="preserve"> PAGEREF _Toc231226895 \h </w:instrText>
            </w:r>
            <w:r>
              <w:rPr>
                <w:noProof/>
                <w:webHidden/>
              </w:rPr>
            </w:r>
            <w:r>
              <w:rPr>
                <w:noProof/>
                <w:webHidden/>
              </w:rPr>
              <w:fldChar w:fldCharType="separate"/>
            </w:r>
            <w:r>
              <w:rPr>
                <w:noProof/>
                <w:webHidden/>
              </w:rPr>
              <w:t>2</w:t>
            </w:r>
            <w:r>
              <w:rPr>
                <w:noProof/>
                <w:webHidden/>
              </w:rPr>
              <w:fldChar w:fldCharType="end"/>
            </w:r>
          </w:hyperlink>
        </w:p>
        <w:p w14:paraId="01B83AA7" w14:textId="2EF1D9B6" w:rsidR="0046218B" w:rsidRDefault="0046218B">
          <w:r>
            <w:rPr>
              <w:b/>
              <w:bCs/>
            </w:rPr>
            <w:fldChar w:fldCharType="end"/>
          </w:r>
        </w:p>
      </w:sdtContent>
    </w:sdt>
    <w:p w14:paraId="4524D368" w14:textId="77777777" w:rsidR="0046218B" w:rsidRPr="00C7234F" w:rsidRDefault="0046218B" w:rsidP="00C7234F"/>
    <w:p w14:paraId="4EE438C9" w14:textId="77777777" w:rsidR="0046218B" w:rsidRPr="00337F8C" w:rsidRDefault="0046218B" w:rsidP="0046218B">
      <w:pPr>
        <w:pStyle w:val="Heading2"/>
      </w:pPr>
      <w:bookmarkStart w:id="2" w:name="_Toc212824076"/>
      <w:bookmarkStart w:id="3" w:name="_Toc231226895"/>
      <w:r>
        <w:t>Spatial and temporal coverage</w:t>
      </w:r>
      <w:bookmarkEnd w:id="2"/>
      <w:bookmarkEnd w:id="3"/>
    </w:p>
    <w:p w14:paraId="24636192" w14:textId="77777777" w:rsidR="0046218B" w:rsidRDefault="0046218B" w:rsidP="0046218B">
      <w:pPr>
        <w:pStyle w:val="NoSpacing"/>
      </w:pPr>
      <w:r>
        <w:t>The samples were taken from two salt marshes: Old Hall (</w:t>
      </w:r>
      <w:r w:rsidRPr="004B5574">
        <w:t>0.839331</w:t>
      </w:r>
      <w:r>
        <w:t xml:space="preserve">° E, </w:t>
      </w:r>
      <w:r w:rsidRPr="00A52C85">
        <w:t>51.772728</w:t>
      </w:r>
      <w:r>
        <w:t xml:space="preserve">° N; </w:t>
      </w:r>
      <w:r w:rsidRPr="00FD7D56">
        <w:t>0.842285</w:t>
      </w:r>
      <w:r>
        <w:t xml:space="preserve">° E, </w:t>
      </w:r>
      <w:r w:rsidRPr="00111F4B">
        <w:t>51.773969</w:t>
      </w:r>
      <w:r>
        <w:t>° N) and Warton Bank (</w:t>
      </w:r>
      <w:r w:rsidRPr="00FD5058">
        <w:t>-2.937294</w:t>
      </w:r>
      <w:r>
        <w:t xml:space="preserve">° O, </w:t>
      </w:r>
      <w:r w:rsidRPr="0052388A">
        <w:t>53.730944</w:t>
      </w:r>
      <w:r>
        <w:t xml:space="preserve">° N; </w:t>
      </w:r>
      <w:r w:rsidRPr="000D31C5">
        <w:t>-2.917497</w:t>
      </w:r>
      <w:r>
        <w:t xml:space="preserve">° O, </w:t>
      </w:r>
      <w:r w:rsidRPr="003C5BA3">
        <w:t>53.737175</w:t>
      </w:r>
      <w:r>
        <w:t xml:space="preserve">°N). </w:t>
      </w:r>
    </w:p>
    <w:p w14:paraId="0C769C5C" w14:textId="74188EC0" w:rsidR="0046218B" w:rsidRDefault="0046218B" w:rsidP="0046218B">
      <w:pPr>
        <w:pStyle w:val="NoSpacing"/>
      </w:pPr>
      <w:r>
        <w:t>The data includes two sampling events at each site, one in winter and one in summer (Table 1).</w:t>
      </w:r>
    </w:p>
    <w:p w14:paraId="653E0275" w14:textId="77777777" w:rsidR="0046218B" w:rsidRDefault="0046218B" w:rsidP="0046218B">
      <w:pPr>
        <w:pStyle w:val="NoSpacing"/>
      </w:pPr>
    </w:p>
    <w:p w14:paraId="2303D464" w14:textId="0BD2340E" w:rsidR="0046218B" w:rsidRDefault="0046218B" w:rsidP="0046218B">
      <w:pPr>
        <w:pStyle w:val="NoSpacing"/>
      </w:pPr>
      <w:r w:rsidRPr="0046218B">
        <w:rPr>
          <w:b/>
          <w:bCs/>
        </w:rPr>
        <w:t>Table 1:</w:t>
      </w:r>
      <w:r w:rsidRPr="0046218B">
        <w:t xml:space="preserve"> Dates of sediment core extraction for data reported herein. Perring, Aberg et al. (2026) provides a full list of sample dates and further information on general saltmarsh/estuarine properties. </w:t>
      </w:r>
    </w:p>
    <w:tbl>
      <w:tblPr>
        <w:tblStyle w:val="PlainTable2"/>
        <w:tblpPr w:leftFromText="180" w:rightFromText="180" w:vertAnchor="text" w:tblpY="1"/>
        <w:tblOverlap w:val="never"/>
        <w:tblW w:w="0" w:type="auto"/>
        <w:tblBorders>
          <w:top w:val="single" w:sz="8" w:space="0" w:color="156082" w:themeColor="accent1"/>
          <w:bottom w:val="single" w:sz="8" w:space="0" w:color="156082" w:themeColor="accent1"/>
          <w:insideH w:val="single" w:sz="8" w:space="0" w:color="156082" w:themeColor="accent1"/>
        </w:tblBorders>
        <w:tblLook w:val="04A0" w:firstRow="1" w:lastRow="0" w:firstColumn="1" w:lastColumn="0" w:noHBand="0" w:noVBand="1"/>
      </w:tblPr>
      <w:tblGrid>
        <w:gridCol w:w="2997"/>
        <w:gridCol w:w="2997"/>
        <w:gridCol w:w="3011"/>
      </w:tblGrid>
      <w:tr w:rsidR="0046218B" w:rsidRPr="00125928" w14:paraId="47CB5724" w14:textId="77777777" w:rsidTr="006C20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97" w:type="dxa"/>
            <w:tcBorders>
              <w:bottom w:val="none" w:sz="0" w:space="0" w:color="auto"/>
            </w:tcBorders>
            <w:shd w:val="clear" w:color="auto" w:fill="156082" w:themeFill="accent1"/>
          </w:tcPr>
          <w:p w14:paraId="3F9AF8C2" w14:textId="77777777" w:rsidR="0046218B" w:rsidRPr="00DD445B" w:rsidRDefault="0046218B" w:rsidP="006C2034">
            <w:pPr>
              <w:jc w:val="center"/>
              <w:rPr>
                <w:color w:val="FFFFFF" w:themeColor="background1"/>
              </w:rPr>
            </w:pPr>
            <w:r w:rsidRPr="00DD445B">
              <w:rPr>
                <w:color w:val="FFFFFF" w:themeColor="background1"/>
              </w:rPr>
              <w:t>Sample Visit</w:t>
            </w:r>
          </w:p>
        </w:tc>
        <w:tc>
          <w:tcPr>
            <w:tcW w:w="2997" w:type="dxa"/>
            <w:tcBorders>
              <w:bottom w:val="none" w:sz="0" w:space="0" w:color="auto"/>
            </w:tcBorders>
            <w:shd w:val="clear" w:color="auto" w:fill="156082" w:themeFill="accent1"/>
          </w:tcPr>
          <w:p w14:paraId="3745FD46" w14:textId="77777777" w:rsidR="0046218B" w:rsidRPr="00DD445B" w:rsidRDefault="0046218B" w:rsidP="006C203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DD445B">
              <w:rPr>
                <w:color w:val="FFFFFF" w:themeColor="background1"/>
              </w:rPr>
              <w:t xml:space="preserve">Warton Bank, </w:t>
            </w:r>
          </w:p>
          <w:p w14:paraId="13123542" w14:textId="77777777" w:rsidR="0046218B" w:rsidRPr="00DD445B" w:rsidRDefault="0046218B" w:rsidP="006C2034">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DD445B">
              <w:rPr>
                <w:color w:val="FFFFFF" w:themeColor="background1"/>
              </w:rPr>
              <w:t>Ribble Estuary</w:t>
            </w:r>
          </w:p>
        </w:tc>
        <w:tc>
          <w:tcPr>
            <w:tcW w:w="3011" w:type="dxa"/>
            <w:tcBorders>
              <w:bottom w:val="none" w:sz="0" w:space="0" w:color="auto"/>
            </w:tcBorders>
            <w:shd w:val="clear" w:color="auto" w:fill="156082" w:themeFill="accent1"/>
          </w:tcPr>
          <w:p w14:paraId="3C91DBC0" w14:textId="77777777" w:rsidR="0046218B" w:rsidRPr="00DD445B" w:rsidRDefault="0046218B" w:rsidP="006C203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DD445B">
              <w:rPr>
                <w:color w:val="FFFFFF" w:themeColor="background1"/>
              </w:rPr>
              <w:t xml:space="preserve">Old Hall, </w:t>
            </w:r>
          </w:p>
          <w:p w14:paraId="42A8261F" w14:textId="77777777" w:rsidR="0046218B" w:rsidRPr="00DD445B" w:rsidRDefault="0046218B" w:rsidP="006C2034">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DD445B">
              <w:rPr>
                <w:color w:val="FFFFFF" w:themeColor="background1"/>
              </w:rPr>
              <w:t>Blackwater Estuary</w:t>
            </w:r>
          </w:p>
        </w:tc>
      </w:tr>
      <w:tr w:rsidR="0046218B" w:rsidRPr="00125928" w14:paraId="21C4725F" w14:textId="77777777" w:rsidTr="006C20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97" w:type="dxa"/>
            <w:tcBorders>
              <w:top w:val="none" w:sz="0" w:space="0" w:color="auto"/>
              <w:bottom w:val="none" w:sz="0" w:space="0" w:color="auto"/>
            </w:tcBorders>
          </w:tcPr>
          <w:p w14:paraId="5EDADEC9" w14:textId="77777777" w:rsidR="0046218B" w:rsidRPr="002E6143" w:rsidRDefault="0046218B" w:rsidP="006C2034">
            <w:pPr>
              <w:jc w:val="center"/>
              <w:rPr>
                <w:b w:val="0"/>
                <w:bCs w:val="0"/>
              </w:rPr>
            </w:pPr>
            <w:r>
              <w:rPr>
                <w:b w:val="0"/>
                <w:bCs w:val="0"/>
              </w:rPr>
              <w:t>Winter</w:t>
            </w:r>
          </w:p>
        </w:tc>
        <w:tc>
          <w:tcPr>
            <w:tcW w:w="2997" w:type="dxa"/>
            <w:tcBorders>
              <w:top w:val="none" w:sz="0" w:space="0" w:color="auto"/>
              <w:bottom w:val="none" w:sz="0" w:space="0" w:color="auto"/>
            </w:tcBorders>
          </w:tcPr>
          <w:p w14:paraId="0DA1B5A4" w14:textId="77777777" w:rsidR="0046218B" w:rsidRPr="001E437D" w:rsidRDefault="0046218B" w:rsidP="006C2034">
            <w:pPr>
              <w:jc w:val="center"/>
              <w:cnfStyle w:val="000000100000" w:firstRow="0" w:lastRow="0" w:firstColumn="0" w:lastColumn="0" w:oddVBand="0" w:evenVBand="0" w:oddHBand="1" w:evenHBand="0" w:firstRowFirstColumn="0" w:firstRowLastColumn="0" w:lastRowFirstColumn="0" w:lastRowLastColumn="0"/>
              <w:rPr>
                <w:b/>
                <w:bCs/>
              </w:rPr>
            </w:pPr>
            <w:r w:rsidRPr="001E437D">
              <w:t>7</w:t>
            </w:r>
            <w:r w:rsidRPr="001E437D">
              <w:rPr>
                <w:vertAlign w:val="superscript"/>
              </w:rPr>
              <w:t>th</w:t>
            </w:r>
            <w:r w:rsidRPr="001E437D">
              <w:t xml:space="preserve"> and 8</w:t>
            </w:r>
            <w:r w:rsidRPr="001E437D">
              <w:rPr>
                <w:vertAlign w:val="superscript"/>
              </w:rPr>
              <w:t>th</w:t>
            </w:r>
            <w:r w:rsidRPr="001E437D">
              <w:t xml:space="preserve"> January 2025</w:t>
            </w:r>
          </w:p>
        </w:tc>
        <w:tc>
          <w:tcPr>
            <w:tcW w:w="3011" w:type="dxa"/>
            <w:tcBorders>
              <w:top w:val="none" w:sz="0" w:space="0" w:color="auto"/>
              <w:bottom w:val="none" w:sz="0" w:space="0" w:color="auto"/>
            </w:tcBorders>
          </w:tcPr>
          <w:p w14:paraId="0FC20848" w14:textId="77777777" w:rsidR="0046218B" w:rsidRPr="001E437D" w:rsidRDefault="0046218B" w:rsidP="006C2034">
            <w:pPr>
              <w:jc w:val="center"/>
              <w:cnfStyle w:val="000000100000" w:firstRow="0" w:lastRow="0" w:firstColumn="0" w:lastColumn="0" w:oddVBand="0" w:evenVBand="0" w:oddHBand="1" w:evenHBand="0" w:firstRowFirstColumn="0" w:firstRowLastColumn="0" w:lastRowFirstColumn="0" w:lastRowLastColumn="0"/>
            </w:pPr>
            <w:r w:rsidRPr="001E437D">
              <w:t>10</w:t>
            </w:r>
            <w:r w:rsidRPr="001E437D">
              <w:rPr>
                <w:vertAlign w:val="superscript"/>
              </w:rPr>
              <w:t>th</w:t>
            </w:r>
            <w:r w:rsidRPr="001E437D">
              <w:t xml:space="preserve"> December 2024</w:t>
            </w:r>
          </w:p>
        </w:tc>
      </w:tr>
      <w:tr w:rsidR="0046218B" w:rsidRPr="00125928" w14:paraId="529E7AAF" w14:textId="77777777" w:rsidTr="006C2034">
        <w:tc>
          <w:tcPr>
            <w:cnfStyle w:val="001000000000" w:firstRow="0" w:lastRow="0" w:firstColumn="1" w:lastColumn="0" w:oddVBand="0" w:evenVBand="0" w:oddHBand="0" w:evenHBand="0" w:firstRowFirstColumn="0" w:firstRowLastColumn="0" w:lastRowFirstColumn="0" w:lastRowLastColumn="0"/>
            <w:tcW w:w="2997" w:type="dxa"/>
            <w:vAlign w:val="center"/>
          </w:tcPr>
          <w:p w14:paraId="0864738B" w14:textId="77777777" w:rsidR="0046218B" w:rsidRPr="002E6143" w:rsidRDefault="0046218B" w:rsidP="006C2034">
            <w:pPr>
              <w:jc w:val="center"/>
              <w:rPr>
                <w:b w:val="0"/>
                <w:bCs w:val="0"/>
              </w:rPr>
            </w:pPr>
            <w:r>
              <w:rPr>
                <w:b w:val="0"/>
                <w:bCs w:val="0"/>
              </w:rPr>
              <w:t>Summer</w:t>
            </w:r>
          </w:p>
        </w:tc>
        <w:tc>
          <w:tcPr>
            <w:tcW w:w="2997" w:type="dxa"/>
          </w:tcPr>
          <w:p w14:paraId="10B1447C" w14:textId="77777777" w:rsidR="0046218B" w:rsidRPr="001E437D" w:rsidRDefault="0046218B" w:rsidP="006C2034">
            <w:pPr>
              <w:jc w:val="center"/>
              <w:cnfStyle w:val="000000000000" w:firstRow="0" w:lastRow="0" w:firstColumn="0" w:lastColumn="0" w:oddVBand="0" w:evenVBand="0" w:oddHBand="0" w:evenHBand="0" w:firstRowFirstColumn="0" w:firstRowLastColumn="0" w:lastRowFirstColumn="0" w:lastRowLastColumn="0"/>
              <w:rPr>
                <w:b/>
                <w:bCs/>
              </w:rPr>
            </w:pPr>
            <w:r w:rsidRPr="009D7CD9">
              <w:t>9</w:t>
            </w:r>
            <w:r w:rsidRPr="009D7CD9">
              <w:rPr>
                <w:vertAlign w:val="superscript"/>
              </w:rPr>
              <w:t>th</w:t>
            </w:r>
            <w:r w:rsidRPr="009D7CD9">
              <w:t xml:space="preserve"> </w:t>
            </w:r>
            <w:r w:rsidRPr="001E437D">
              <w:t>June 2025</w:t>
            </w:r>
          </w:p>
        </w:tc>
        <w:tc>
          <w:tcPr>
            <w:tcW w:w="3011" w:type="dxa"/>
          </w:tcPr>
          <w:p w14:paraId="7B9D0A3B" w14:textId="77777777" w:rsidR="0046218B" w:rsidRPr="001E437D" w:rsidRDefault="0046218B" w:rsidP="006C2034">
            <w:pPr>
              <w:jc w:val="center"/>
              <w:cnfStyle w:val="000000000000" w:firstRow="0" w:lastRow="0" w:firstColumn="0" w:lastColumn="0" w:oddVBand="0" w:evenVBand="0" w:oddHBand="0" w:evenHBand="0" w:firstRowFirstColumn="0" w:firstRowLastColumn="0" w:lastRowFirstColumn="0" w:lastRowLastColumn="0"/>
            </w:pPr>
            <w:r w:rsidRPr="001E437D">
              <w:t>1</w:t>
            </w:r>
            <w:r w:rsidRPr="001E437D">
              <w:rPr>
                <w:vertAlign w:val="superscript"/>
              </w:rPr>
              <w:t>st</w:t>
            </w:r>
            <w:r w:rsidRPr="001E437D">
              <w:t xml:space="preserve"> July 2025</w:t>
            </w:r>
          </w:p>
        </w:tc>
      </w:tr>
    </w:tbl>
    <w:p w14:paraId="69FBB339" w14:textId="77777777" w:rsidR="0046218B" w:rsidRDefault="0046218B" w:rsidP="0046218B">
      <w:pPr>
        <w:pStyle w:val="Caption"/>
      </w:pPr>
    </w:p>
    <w:p w14:paraId="7537EDD0" w14:textId="77777777" w:rsidR="0046218B" w:rsidRPr="00E30FA0" w:rsidRDefault="0046218B" w:rsidP="0046218B">
      <w:pPr>
        <w:pStyle w:val="Heading2"/>
      </w:pPr>
      <w:bookmarkStart w:id="4" w:name="_Toc212824077"/>
      <w:r>
        <w:t>Sampling regime and experimental design</w:t>
      </w:r>
      <w:bookmarkEnd w:id="4"/>
    </w:p>
    <w:p w14:paraId="7DAB48F5" w14:textId="4460365A" w:rsidR="0046218B" w:rsidRPr="00DC4749" w:rsidRDefault="0046218B" w:rsidP="0046218B">
      <w:pPr>
        <w:pStyle w:val="NoSpacing"/>
      </w:pPr>
      <w:r>
        <w:t>Six quadrats of 1 m</w:t>
      </w:r>
      <w:r w:rsidRPr="00EF1EB4">
        <w:rPr>
          <w:vertAlign w:val="superscript"/>
        </w:rPr>
        <w:t>2</w:t>
      </w:r>
      <w:r>
        <w:t xml:space="preserve"> were sampled at the low, high and middle vegetation zones during each visit</w:t>
      </w:r>
      <w:r w:rsidR="00DF6B60">
        <w:t xml:space="preserve"> (N = 72)</w:t>
      </w:r>
      <w:r>
        <w:t xml:space="preserve">. Vegetation zones were identified </w:t>
      </w:r>
      <w:r>
        <w:rPr>
          <w:szCs w:val="24"/>
        </w:rPr>
        <w:t xml:space="preserve">by observed dominant vegetation in an area: ‘pioneer/low’ (e.g. </w:t>
      </w:r>
      <w:r w:rsidRPr="00210E29">
        <w:rPr>
          <w:i/>
          <w:iCs/>
          <w:szCs w:val="24"/>
        </w:rPr>
        <w:t>Spartina</w:t>
      </w:r>
      <w:r>
        <w:rPr>
          <w:szCs w:val="24"/>
        </w:rPr>
        <w:t xml:space="preserve">- or </w:t>
      </w:r>
      <w:r w:rsidRPr="00210E29">
        <w:rPr>
          <w:i/>
          <w:iCs/>
          <w:szCs w:val="24"/>
        </w:rPr>
        <w:t>Salicornia</w:t>
      </w:r>
      <w:r>
        <w:rPr>
          <w:szCs w:val="24"/>
        </w:rPr>
        <w:t xml:space="preserve">-dominated), ‘middle’ (e.g. mixed communities of </w:t>
      </w:r>
      <w:r w:rsidRPr="00210E29">
        <w:rPr>
          <w:i/>
          <w:iCs/>
          <w:szCs w:val="24"/>
        </w:rPr>
        <w:t>Atriplex</w:t>
      </w:r>
      <w:r>
        <w:rPr>
          <w:szCs w:val="24"/>
        </w:rPr>
        <w:t xml:space="preserve">, </w:t>
      </w:r>
      <w:r w:rsidRPr="00210E29">
        <w:rPr>
          <w:i/>
          <w:iCs/>
          <w:szCs w:val="24"/>
        </w:rPr>
        <w:t>Armeria</w:t>
      </w:r>
      <w:r>
        <w:rPr>
          <w:szCs w:val="24"/>
        </w:rPr>
        <w:t>,</w:t>
      </w:r>
      <w:r w:rsidRPr="00210E29">
        <w:rPr>
          <w:i/>
          <w:iCs/>
          <w:szCs w:val="24"/>
        </w:rPr>
        <w:t xml:space="preserve"> Plantago</w:t>
      </w:r>
      <w:r>
        <w:rPr>
          <w:szCs w:val="24"/>
        </w:rPr>
        <w:t xml:space="preserve">, </w:t>
      </w:r>
      <w:r w:rsidRPr="00210E29">
        <w:rPr>
          <w:i/>
          <w:iCs/>
          <w:szCs w:val="24"/>
        </w:rPr>
        <w:t>Limonium</w:t>
      </w:r>
      <w:r>
        <w:rPr>
          <w:szCs w:val="24"/>
        </w:rPr>
        <w:t xml:space="preserve">, and </w:t>
      </w:r>
      <w:r w:rsidRPr="00210E29">
        <w:rPr>
          <w:i/>
          <w:iCs/>
          <w:szCs w:val="24"/>
        </w:rPr>
        <w:t>Puccinellia</w:t>
      </w:r>
      <w:r>
        <w:rPr>
          <w:szCs w:val="24"/>
        </w:rPr>
        <w:t xml:space="preserve">), and ‘high’ (e.g. </w:t>
      </w:r>
      <w:r w:rsidRPr="00210E29">
        <w:rPr>
          <w:i/>
          <w:iCs/>
          <w:szCs w:val="24"/>
        </w:rPr>
        <w:t>Elymus</w:t>
      </w:r>
      <w:r>
        <w:rPr>
          <w:szCs w:val="24"/>
        </w:rPr>
        <w:t xml:space="preserve">-dominated) saltmarsh plant communities. </w:t>
      </w:r>
    </w:p>
    <w:p w14:paraId="2F1ADDB6" w14:textId="77777777" w:rsidR="0046218B" w:rsidRDefault="0046218B" w:rsidP="0046218B">
      <w:pPr>
        <w:pStyle w:val="NoSpacing"/>
      </w:pPr>
    </w:p>
    <w:p w14:paraId="4B1993BA" w14:textId="483DF453" w:rsidR="0008649D" w:rsidRDefault="0008649D" w:rsidP="0008649D">
      <w:r w:rsidRPr="00D10E8D">
        <w:t>Within the 1 x 1m quadrats, we chose 2 locations of approximately the same aboveground plant community composition and biomass (estimated by eye) for saltmarsh denitrification core collection</w:t>
      </w:r>
      <w:r>
        <w:t xml:space="preserve"> (described in </w:t>
      </w:r>
      <w:hyperlink r:id="rId10" w:history="1">
        <w:r w:rsidRPr="00F906B6">
          <w:rPr>
            <w:rStyle w:val="Hyperlink"/>
          </w:rPr>
          <w:t>https://catalogue.ceh.ac.uk/id/26efc506-a265-4bb1-8296-d6988ab8d714</w:t>
        </w:r>
      </w:hyperlink>
      <w:r>
        <w:t xml:space="preserve"> and </w:t>
      </w:r>
      <w:hyperlink r:id="rId11" w:history="1">
        <w:r w:rsidRPr="007C0418">
          <w:rPr>
            <w:rStyle w:val="Hyperlink"/>
          </w:rPr>
          <w:t>https://doi.org/10.5285/fd918e24-4fd8-4e32-867a-b1a1fe74ce12</w:t>
        </w:r>
      </w:hyperlink>
      <w:r>
        <w:t>)</w:t>
      </w:r>
      <w:r w:rsidRPr="00D10E8D">
        <w:t>.</w:t>
      </w:r>
      <w:r>
        <w:t xml:space="preserve"> </w:t>
      </w:r>
      <w:r w:rsidRPr="00D10E8D">
        <w:t xml:space="preserve">Two black plastic cores of 68 mm internal diameter, and 22 cm depth were hammered into the sediment, having removed </w:t>
      </w:r>
      <w:r>
        <w:t>any interfering v</w:t>
      </w:r>
      <w:r w:rsidRPr="00D10E8D">
        <w:t xml:space="preserve">egetation first, leaving approximately 2 cm </w:t>
      </w:r>
      <w:r>
        <w:t xml:space="preserve">of the core </w:t>
      </w:r>
      <w:r w:rsidRPr="00D10E8D">
        <w:t>showing above ground. Cores were then extracted</w:t>
      </w:r>
      <w:r>
        <w:t xml:space="preserve"> with a post-hole spade</w:t>
      </w:r>
      <w:r w:rsidRPr="00D10E8D">
        <w:t>, capped at both ends</w:t>
      </w:r>
      <w:r>
        <w:t xml:space="preserve"> in black plastic</w:t>
      </w:r>
      <w:r w:rsidRPr="00D10E8D">
        <w:t>, appropriately labelled and kept as cool as practicable (but not frozen) until transfer to Bangor University for laboratory analysis.</w:t>
      </w:r>
      <w:r>
        <w:t xml:space="preserve"> In the field, they were kept cool in insulated plastic boxes, with ice packs subsequently added at the end of each day in the field, exchanged daily for fresh ice packs for the duration of sampling and transfer to Bangor University </w:t>
      </w:r>
      <w:r w:rsidRPr="00CC12CB">
        <w:t>laboratory. Prior to analysis, cores were kept in a cool room at 3</w:t>
      </w:r>
      <w:r w:rsidRPr="00CC12CB">
        <w:rPr>
          <w:rFonts w:cs="Arial"/>
        </w:rPr>
        <w:t>°</w:t>
      </w:r>
      <w:r w:rsidRPr="00CC12CB">
        <w:t>C.</w:t>
      </w:r>
      <w:r>
        <w:t xml:space="preserve"> </w:t>
      </w:r>
      <w:r w:rsidRPr="00D10E8D">
        <w:t xml:space="preserve"> </w:t>
      </w:r>
    </w:p>
    <w:p w14:paraId="0E3D8579" w14:textId="77777777" w:rsidR="0008649D" w:rsidRDefault="0008649D" w:rsidP="0008649D"/>
    <w:p w14:paraId="0C56E988" w14:textId="4BA74D69" w:rsidR="0008649D" w:rsidRDefault="0008649D" w:rsidP="0008649D">
      <w:pPr>
        <w:pStyle w:val="Heading2"/>
      </w:pPr>
      <w:r>
        <w:lastRenderedPageBreak/>
        <w:t>Particle Size Distribution analyses and quality control</w:t>
      </w:r>
    </w:p>
    <w:p w14:paraId="7D49BA41" w14:textId="77777777" w:rsidR="0008649D" w:rsidRPr="004679E7" w:rsidRDefault="0008649D" w:rsidP="0008649D">
      <w:r w:rsidRPr="004679E7">
        <w:t>At the UKCEH laboratories, a subsample of approximately 0.8 to 1.5 g of field-moist sediment, with the exact mass recorded, was extracted from each of the sediment samples delivered by Bangor University. Organic matter was removed using 10 ml aliquots of 6 % hydrogen peroxide (H</w:t>
      </w:r>
      <w:r w:rsidRPr="004679E7">
        <w:rPr>
          <w:vertAlign w:val="subscript"/>
        </w:rPr>
        <w:t>2</w:t>
      </w:r>
      <w:r w:rsidRPr="004679E7">
        <w:t>O</w:t>
      </w:r>
      <w:r w:rsidRPr="004679E7">
        <w:rPr>
          <w:vertAlign w:val="subscript"/>
        </w:rPr>
        <w:t>2</w:t>
      </w:r>
      <w:r w:rsidRPr="004679E7">
        <w:t>) solution until such time that foaming ceased when any further 6 % H</w:t>
      </w:r>
      <w:r w:rsidRPr="004679E7">
        <w:rPr>
          <w:vertAlign w:val="subscript"/>
        </w:rPr>
        <w:t>2</w:t>
      </w:r>
      <w:r w:rsidRPr="004679E7">
        <w:t>O</w:t>
      </w:r>
      <w:r w:rsidRPr="004679E7">
        <w:rPr>
          <w:vertAlign w:val="subscript"/>
        </w:rPr>
        <w:t>2</w:t>
      </w:r>
      <w:r w:rsidRPr="004679E7">
        <w:t xml:space="preserve"> was added. A heat cycle (60 minutes at 85 °C, 60 minutes at 100 °C and 60 minutes at 110 °C) was implemented on a Velp scientific digester unit (capacity 42 test tubes) with samples allowed to cool. 30 % H</w:t>
      </w:r>
      <w:r w:rsidRPr="004679E7">
        <w:rPr>
          <w:vertAlign w:val="subscript"/>
        </w:rPr>
        <w:t>2</w:t>
      </w:r>
      <w:r w:rsidRPr="004679E7">
        <w:t>O</w:t>
      </w:r>
      <w:r w:rsidRPr="004679E7">
        <w:rPr>
          <w:vertAlign w:val="subscript"/>
        </w:rPr>
        <w:t>2</w:t>
      </w:r>
      <w:r w:rsidRPr="004679E7">
        <w:t xml:space="preserve"> was then added, dropwise, to continue oxidation until no further foaming, and then a further 1 ml of 30 % H</w:t>
      </w:r>
      <w:r w:rsidRPr="004679E7">
        <w:rPr>
          <w:vertAlign w:val="subscript"/>
        </w:rPr>
        <w:t>2</w:t>
      </w:r>
      <w:r w:rsidRPr="004679E7">
        <w:t>O</w:t>
      </w:r>
      <w:r w:rsidRPr="004679E7">
        <w:rPr>
          <w:vertAlign w:val="subscript"/>
        </w:rPr>
        <w:t>2</w:t>
      </w:r>
      <w:r w:rsidRPr="004679E7">
        <w:t xml:space="preserve"> was added and left overnight. We implemented another heating cycle to ensure that at the completion of the digestion cycle, there was clear liquid with sand/particles at the bottom. The particles were transferred to 250 ml bottles, into which 5 ml of 5 % Calgon solution was added. The Calgon solution was prepared by weighing 36 g of sodium hexametaphosphate and 8 g of sodium bicarbonate in a 2 L flask, with subsequent dissolution in 2 L of deionised water. Samples were then placed in an orbital shaker, in an upright position, running at 200 rpm overnight. </w:t>
      </w:r>
    </w:p>
    <w:p w14:paraId="107B4421" w14:textId="0888F271" w:rsidR="0008649D" w:rsidRDefault="0008649D" w:rsidP="0008649D">
      <w:r w:rsidRPr="004679E7">
        <w:t>The contents of the 250 ml bottles were emptied manually into the particle size analyser (a Beckman Coulter LS13 320 laser diffraction unit) for the measurement of particle size distribution (</w:t>
      </w:r>
      <w:r>
        <w:fldChar w:fldCharType="begin"/>
      </w:r>
      <w:r>
        <w:instrText xml:space="preserve"> REF _Ref224804633 \h </w:instrText>
      </w:r>
      <w:r>
        <w:fldChar w:fldCharType="separate"/>
      </w:r>
      <w:r>
        <w:t xml:space="preserve">Figure </w:t>
      </w:r>
      <w:r>
        <w:rPr>
          <w:noProof/>
        </w:rPr>
        <w:t>3</w:t>
      </w:r>
      <w:r>
        <w:fldChar w:fldCharType="end"/>
      </w:r>
      <w:r w:rsidRPr="004679E7">
        <w:t>). A batch consists of 41 samples: within a batch, we typically ran 24 samples, 12 replicates, and 3 internal UKCEH laboratory standards, (BS3, replicated 3 times, BSH and BSM). We derived mean grain size, median grain size, skewness and kurtosis for each core, while the distribution of particle size can be reported as the sediment fractions at standard ½ ϕ intervals (with units in both ϕ and mm). These methods follow Gee and Or (2002) and Avery (1980)</w:t>
      </w:r>
      <w:r w:rsidR="00526F71">
        <w:t>.</w:t>
      </w:r>
    </w:p>
    <w:p w14:paraId="105992FD" w14:textId="12265EBF" w:rsidR="00776583" w:rsidRDefault="00776583" w:rsidP="00776583">
      <w:pPr>
        <w:pStyle w:val="Heading2"/>
      </w:pPr>
      <w:r>
        <w:t>Derived descriptors</w:t>
      </w:r>
    </w:p>
    <w:p w14:paraId="7C6B0393" w14:textId="1ED86E20" w:rsidR="006163E5" w:rsidRDefault="00857224" w:rsidP="006163E5">
      <w:r>
        <w:t xml:space="preserve">The percentage of clay in a sample is defined as the </w:t>
      </w:r>
      <w:r w:rsidR="00271C99">
        <w:t>percentage</w:t>
      </w:r>
      <w:r>
        <w:t xml:space="preserve"> </w:t>
      </w:r>
      <w:r w:rsidR="00250DB8" w:rsidRPr="00250DB8">
        <w:t>of volume occupied by particles &lt; 2 µm</w:t>
      </w:r>
      <w:r w:rsidR="00250DB8">
        <w:t xml:space="preserve">, the percentage of silt, </w:t>
      </w:r>
      <w:r w:rsidR="006163E5">
        <w:t xml:space="preserve">is </w:t>
      </w:r>
      <w:r w:rsidR="006163E5" w:rsidRPr="006163E5">
        <w:t>the percentage of volume occupied by particles of size 2-63 µm, and sand percentage is the percentage of volume occupied by particles of size 63-2000 µm</w:t>
      </w:r>
      <w:r w:rsidR="006163E5">
        <w:t xml:space="preserve">. The percentage of mud </w:t>
      </w:r>
      <w:r w:rsidR="0000692F" w:rsidRPr="0000692F">
        <w:t xml:space="preserve">is calculated as the combined percentage of clay and silt particle fractions. </w:t>
      </w:r>
    </w:p>
    <w:p w14:paraId="5DC07BF4" w14:textId="3B2FDB8B" w:rsidR="00305CF1" w:rsidRDefault="00305CF1" w:rsidP="006163E5">
      <w:pPr>
        <w:rPr>
          <w:rFonts w:cs="Times New Roman"/>
        </w:rPr>
      </w:pPr>
      <w:r>
        <w:t xml:space="preserve">Using those categories, each sample was further categorized </w:t>
      </w:r>
      <w:r w:rsidR="00765497" w:rsidRPr="00603BF6">
        <w:rPr>
          <w:rFonts w:cs="Times New Roman"/>
        </w:rPr>
        <w:t>samples following Folk’s classification (Folk, 1954)</w:t>
      </w:r>
      <w:r w:rsidR="00765497">
        <w:rPr>
          <w:rFonts w:cs="Times New Roman"/>
        </w:rPr>
        <w:t xml:space="preserve"> (Figure 1)</w:t>
      </w:r>
      <w:r w:rsidR="00765497" w:rsidRPr="00603BF6">
        <w:rPr>
          <w:rFonts w:cs="Times New Roman"/>
        </w:rPr>
        <w:t xml:space="preserve"> </w:t>
      </w:r>
    </w:p>
    <w:p w14:paraId="30F811BE" w14:textId="37CD8230" w:rsidR="00D677FC" w:rsidRDefault="00D677FC" w:rsidP="00D677FC">
      <w:pPr>
        <w:jc w:val="center"/>
        <w:rPr>
          <w:rFonts w:cs="Times New Roman"/>
        </w:rPr>
      </w:pPr>
      <w:r>
        <w:rPr>
          <w:noProof/>
        </w:rPr>
        <w:lastRenderedPageBreak/>
        <w:drawing>
          <wp:inline distT="0" distB="0" distL="0" distR="0" wp14:anchorId="62082EF2" wp14:editId="6EFDED00">
            <wp:extent cx="3013544" cy="2570494"/>
            <wp:effectExtent l="0" t="0" r="0" b="1270"/>
            <wp:docPr id="1277221100" name="Picture 1" descr="A diagram of gravel and grav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221100" name="Picture 1" descr="A diagram of gravel and gravel&#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6872" cy="2581863"/>
                    </a:xfrm>
                    <a:prstGeom prst="rect">
                      <a:avLst/>
                    </a:prstGeom>
                    <a:noFill/>
                    <a:ln>
                      <a:noFill/>
                    </a:ln>
                  </pic:spPr>
                </pic:pic>
              </a:graphicData>
            </a:graphic>
          </wp:inline>
        </w:drawing>
      </w:r>
    </w:p>
    <w:p w14:paraId="285A9060" w14:textId="5E7128AB" w:rsidR="004E5154" w:rsidRPr="006163E5" w:rsidRDefault="004E5154" w:rsidP="004E5154">
      <w:r w:rsidRPr="00D677FC">
        <w:rPr>
          <w:b/>
          <w:bCs/>
        </w:rPr>
        <w:t>Figure 1:</w:t>
      </w:r>
      <w:r>
        <w:t xml:space="preserve"> Folk’s (1954) sediment classification. Figure reproduced from Holland and Elmore (2008). The bottom side of the triangle represents the sand to mud composition of a sample, the vertical axis represents the percent content of gravel. Our samples did not contain any gravel, so they all fall within the row of four bins along the base of the triangle. The relevant bins, going from right to left, are: L - sand, M - muddy sand, N - sandy mud, O – mud. For completeness, other bins are: A - gravel, B - sandy gravel, C - muddy sandy gravel, D - muddy gravel, E - gravelly sand, F - gravelly muddy sand, G - gravelly mud, H - slightly gravelly sand, I - slightly gravelly muddy sand, J - slightly gravelly sandy mud and K - slightly gravelly mud. </w:t>
      </w:r>
    </w:p>
    <w:p w14:paraId="53580BA2" w14:textId="654A7102" w:rsidR="00776583" w:rsidRPr="00776583" w:rsidRDefault="00776583" w:rsidP="00776583"/>
    <w:p w14:paraId="6E84D26C" w14:textId="77777777" w:rsidR="00287EC0" w:rsidRDefault="00287EC0" w:rsidP="0008649D"/>
    <w:p w14:paraId="38224AE6" w14:textId="761A0197" w:rsidR="00D13D09" w:rsidRDefault="00D13D09" w:rsidP="00287EC0">
      <w:pPr>
        <w:pStyle w:val="Heading2"/>
      </w:pPr>
      <w:r>
        <w:t>References</w:t>
      </w:r>
    </w:p>
    <w:p w14:paraId="776D99EB" w14:textId="24CF85D4" w:rsidR="00287EC0" w:rsidRDefault="00287EC0" w:rsidP="00287EC0">
      <w:pPr>
        <w:pStyle w:val="EndNoteBibliography"/>
        <w:spacing w:after="80"/>
        <w:ind w:left="720" w:hanging="720"/>
        <w:rPr>
          <w:rFonts w:asciiTheme="minorHAnsi" w:hAnsiTheme="minorHAnsi"/>
          <w:noProof w:val="0"/>
          <w:lang w:val="en-GB"/>
        </w:rPr>
      </w:pPr>
      <w:r w:rsidRPr="00287EC0">
        <w:rPr>
          <w:rFonts w:asciiTheme="minorHAnsi" w:hAnsiTheme="minorHAnsi"/>
          <w:noProof w:val="0"/>
          <w:lang w:val="en-GB"/>
        </w:rPr>
        <w:t>Avery B.W. (1980) Soil Survey Laboratory Methods (Technical Monograph No. 6)</w:t>
      </w:r>
    </w:p>
    <w:p w14:paraId="6C4E0412" w14:textId="21A4072A" w:rsidR="00CA04D7" w:rsidRPr="00287EC0" w:rsidRDefault="00CA04D7" w:rsidP="00287EC0">
      <w:pPr>
        <w:pStyle w:val="EndNoteBibliography"/>
        <w:spacing w:after="80"/>
        <w:ind w:left="720" w:hanging="720"/>
        <w:rPr>
          <w:rFonts w:asciiTheme="minorHAnsi" w:hAnsiTheme="minorHAnsi"/>
          <w:noProof w:val="0"/>
          <w:lang w:val="en-GB"/>
        </w:rPr>
      </w:pPr>
      <w:r w:rsidRPr="00CA04D7">
        <w:rPr>
          <w:rFonts w:asciiTheme="minorHAnsi" w:hAnsiTheme="minorHAnsi"/>
          <w:noProof w:val="0"/>
          <w:lang w:val="en-GB"/>
        </w:rPr>
        <w:t>Folk, R.L. (1954) The distinction between grain size and mineral composition in sedimentary rock nomenclature. Journal of Geology 62 (4), 344-359 https://doi.org/10.1086/626171</w:t>
      </w:r>
    </w:p>
    <w:p w14:paraId="0006F268" w14:textId="51DBC6FC" w:rsidR="00D13D09" w:rsidRDefault="00D13D09" w:rsidP="00287EC0">
      <w:pPr>
        <w:pStyle w:val="EndNoteBibliography"/>
        <w:spacing w:after="80"/>
        <w:ind w:left="720" w:hanging="720"/>
        <w:rPr>
          <w:rFonts w:asciiTheme="minorHAnsi" w:hAnsiTheme="minorHAnsi"/>
          <w:noProof w:val="0"/>
          <w:lang w:val="en-GB"/>
        </w:rPr>
      </w:pPr>
      <w:r w:rsidRPr="00287EC0">
        <w:rPr>
          <w:rFonts w:asciiTheme="minorHAnsi" w:hAnsiTheme="minorHAnsi"/>
          <w:noProof w:val="0"/>
          <w:lang w:val="en-GB"/>
        </w:rPr>
        <w:t>Gee, G.W. and Or, D. (2002) Particle size analysis. In J. Dane &amp; G. C. Topp (Eds.), Methods of Soil Analysis Part 4 Physical Methods. Soil Science Society of America.</w:t>
      </w:r>
    </w:p>
    <w:p w14:paraId="0E229E77" w14:textId="094A72D5" w:rsidR="00293BC0" w:rsidRPr="00293BC0" w:rsidRDefault="00293BC0" w:rsidP="00293BC0">
      <w:pPr>
        <w:pStyle w:val="EndNoteBibliography"/>
        <w:spacing w:after="80"/>
        <w:ind w:left="720" w:hanging="720"/>
      </w:pPr>
      <w:r w:rsidRPr="00293BC0">
        <w:t>Perring</w:t>
      </w:r>
      <w:r>
        <w:t>, M.P.</w:t>
      </w:r>
      <w:r w:rsidRPr="00293BC0">
        <w:t>*,  Aberg</w:t>
      </w:r>
      <w:r>
        <w:t>, D.</w:t>
      </w:r>
      <w:r w:rsidRPr="00293BC0">
        <w:t>,*de la Barra</w:t>
      </w:r>
      <w:r>
        <w:t>, P.</w:t>
      </w:r>
      <w:r w:rsidRPr="00293BC0">
        <w:t>, Harley</w:t>
      </w:r>
      <w:r>
        <w:t>, J.</w:t>
      </w:r>
      <w:r w:rsidRPr="00293BC0">
        <w:t>, Fitos</w:t>
      </w:r>
      <w:r>
        <w:t>, E.</w:t>
      </w:r>
      <w:r w:rsidRPr="00293BC0">
        <w:t>, Marshall-Potter</w:t>
      </w:r>
      <w:r>
        <w:t>, S.</w:t>
      </w:r>
      <w:r w:rsidRPr="00293BC0">
        <w:t>, Oswald</w:t>
      </w:r>
      <w:r>
        <w:t>, T.</w:t>
      </w:r>
      <w:r w:rsidRPr="00293BC0">
        <w:t>, Oakley</w:t>
      </w:r>
      <w:r>
        <w:t>, S.</w:t>
      </w:r>
      <w:r w:rsidRPr="00293BC0">
        <w:t>, Dunn</w:t>
      </w:r>
      <w:r>
        <w:t>, C</w:t>
      </w:r>
      <w:r w:rsidRPr="00293BC0">
        <w:t>, Garbutt</w:t>
      </w:r>
      <w:r>
        <w:t>, A.</w:t>
      </w:r>
      <w:r w:rsidRPr="00293BC0">
        <w:t>, Burden</w:t>
      </w:r>
      <w:r>
        <w:t>, A.</w:t>
      </w:r>
    </w:p>
    <w:p w14:paraId="6125E62A" w14:textId="77777777" w:rsidR="00293BC0" w:rsidRPr="00293BC0" w:rsidRDefault="00293BC0" w:rsidP="00293BC0">
      <w:pPr>
        <w:pStyle w:val="EndNoteBibliography"/>
        <w:spacing w:after="80"/>
        <w:ind w:left="720" w:hanging="720"/>
      </w:pPr>
      <w:r w:rsidRPr="00293BC0">
        <w:t>*: Joint first authors. An annual study of denitrification dynamics in two English saltmarshes: Implications for scaling to nature-based solutions. Report for The Crown Estate.</w:t>
      </w:r>
    </w:p>
    <w:p w14:paraId="6B257CBB" w14:textId="77777777" w:rsidR="00293BC0" w:rsidRPr="00287EC0" w:rsidRDefault="00293BC0" w:rsidP="00287EC0">
      <w:pPr>
        <w:pStyle w:val="EndNoteBibliography"/>
        <w:spacing w:after="80"/>
        <w:ind w:left="720" w:hanging="720"/>
        <w:rPr>
          <w:rFonts w:asciiTheme="minorHAnsi" w:hAnsiTheme="minorHAnsi"/>
          <w:noProof w:val="0"/>
          <w:lang w:val="en-GB"/>
        </w:rPr>
      </w:pPr>
    </w:p>
    <w:p w14:paraId="18CCB34B" w14:textId="77777777" w:rsidR="00D13D09" w:rsidRDefault="00D13D09" w:rsidP="0008649D"/>
    <w:p w14:paraId="50CDF7E6" w14:textId="77777777" w:rsidR="0008649D" w:rsidRDefault="0008649D" w:rsidP="0046218B">
      <w:pPr>
        <w:pStyle w:val="NoSpacing"/>
      </w:pPr>
    </w:p>
    <w:p w14:paraId="435C4149" w14:textId="77777777" w:rsidR="007F1EA4" w:rsidRDefault="007F1EA4"/>
    <w:sectPr w:rsidR="007F1EA4">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1DC56" w14:textId="77777777" w:rsidR="004C4425" w:rsidRDefault="004C4425" w:rsidP="00C7234F">
      <w:pPr>
        <w:spacing w:after="0" w:line="240" w:lineRule="auto"/>
      </w:pPr>
      <w:r>
        <w:separator/>
      </w:r>
    </w:p>
  </w:endnote>
  <w:endnote w:type="continuationSeparator" w:id="0">
    <w:p w14:paraId="2384CF8F" w14:textId="77777777" w:rsidR="004C4425" w:rsidRDefault="004C4425" w:rsidP="00C72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459946"/>
      <w:docPartObj>
        <w:docPartGallery w:val="Page Numbers (Bottom of Page)"/>
        <w:docPartUnique/>
      </w:docPartObj>
    </w:sdtPr>
    <w:sdtEndPr/>
    <w:sdtContent>
      <w:p w14:paraId="79A8EC62" w14:textId="786D0CCA" w:rsidR="0046218B" w:rsidRDefault="0046218B">
        <w:pPr>
          <w:pStyle w:val="Footer"/>
          <w:jc w:val="right"/>
        </w:pPr>
        <w:r>
          <w:fldChar w:fldCharType="begin"/>
        </w:r>
        <w:r>
          <w:instrText>PAGE   \* MERGEFORMAT</w:instrText>
        </w:r>
        <w:r>
          <w:fldChar w:fldCharType="separate"/>
        </w:r>
        <w:r>
          <w:t>2</w:t>
        </w:r>
        <w:r>
          <w:fldChar w:fldCharType="end"/>
        </w:r>
      </w:p>
    </w:sdtContent>
  </w:sdt>
  <w:p w14:paraId="723A4AFB" w14:textId="77777777" w:rsidR="0046218B" w:rsidRDefault="00462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BB991" w14:textId="77777777" w:rsidR="004C4425" w:rsidRDefault="004C4425" w:rsidP="00C7234F">
      <w:pPr>
        <w:spacing w:after="0" w:line="240" w:lineRule="auto"/>
      </w:pPr>
      <w:r>
        <w:separator/>
      </w:r>
    </w:p>
  </w:footnote>
  <w:footnote w:type="continuationSeparator" w:id="0">
    <w:p w14:paraId="0E08AC3F" w14:textId="77777777" w:rsidR="004C4425" w:rsidRDefault="004C4425" w:rsidP="00C723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FF2F81"/>
    <w:multiLevelType w:val="hybridMultilevel"/>
    <w:tmpl w:val="0164A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772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34F"/>
    <w:rsid w:val="0000692F"/>
    <w:rsid w:val="0008649D"/>
    <w:rsid w:val="000D0240"/>
    <w:rsid w:val="000F03A6"/>
    <w:rsid w:val="001D1E58"/>
    <w:rsid w:val="00203A6C"/>
    <w:rsid w:val="00250DB8"/>
    <w:rsid w:val="002615AB"/>
    <w:rsid w:val="00271C99"/>
    <w:rsid w:val="002877CF"/>
    <w:rsid w:val="00287EC0"/>
    <w:rsid w:val="00293BC0"/>
    <w:rsid w:val="00305CF1"/>
    <w:rsid w:val="003E6D1E"/>
    <w:rsid w:val="0046218B"/>
    <w:rsid w:val="004A7B90"/>
    <w:rsid w:val="004C4425"/>
    <w:rsid w:val="004E5154"/>
    <w:rsid w:val="00517543"/>
    <w:rsid w:val="00526F71"/>
    <w:rsid w:val="006163E5"/>
    <w:rsid w:val="00765497"/>
    <w:rsid w:val="00776583"/>
    <w:rsid w:val="007F1EA4"/>
    <w:rsid w:val="00817594"/>
    <w:rsid w:val="00857224"/>
    <w:rsid w:val="008D5EDD"/>
    <w:rsid w:val="00AE2147"/>
    <w:rsid w:val="00B47026"/>
    <w:rsid w:val="00C7234F"/>
    <w:rsid w:val="00CA04D7"/>
    <w:rsid w:val="00D13D09"/>
    <w:rsid w:val="00D677FC"/>
    <w:rsid w:val="00DF6B60"/>
    <w:rsid w:val="00E10950"/>
    <w:rsid w:val="00EB10A3"/>
    <w:rsid w:val="00EB1A39"/>
    <w:rsid w:val="00EC3D8E"/>
    <w:rsid w:val="00FA66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74A04"/>
  <w15:chartTrackingRefBased/>
  <w15:docId w15:val="{394378A3-2DA6-4778-AE05-4FFAF81B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3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723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23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23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23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23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3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3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3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3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723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23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23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23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23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3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3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34F"/>
    <w:rPr>
      <w:rFonts w:eastAsiaTheme="majorEastAsia" w:cstheme="majorBidi"/>
      <w:color w:val="272727" w:themeColor="text1" w:themeTint="D8"/>
    </w:rPr>
  </w:style>
  <w:style w:type="paragraph" w:styleId="Title">
    <w:name w:val="Title"/>
    <w:basedOn w:val="Normal"/>
    <w:next w:val="Normal"/>
    <w:link w:val="TitleChar"/>
    <w:uiPriority w:val="10"/>
    <w:qFormat/>
    <w:rsid w:val="00C723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3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3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3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34F"/>
    <w:pPr>
      <w:spacing w:before="160"/>
      <w:jc w:val="center"/>
    </w:pPr>
    <w:rPr>
      <w:i/>
      <w:iCs/>
      <w:color w:val="404040" w:themeColor="text1" w:themeTint="BF"/>
    </w:rPr>
  </w:style>
  <w:style w:type="character" w:customStyle="1" w:styleId="QuoteChar">
    <w:name w:val="Quote Char"/>
    <w:basedOn w:val="DefaultParagraphFont"/>
    <w:link w:val="Quote"/>
    <w:uiPriority w:val="29"/>
    <w:rsid w:val="00C7234F"/>
    <w:rPr>
      <w:i/>
      <w:iCs/>
      <w:color w:val="404040" w:themeColor="text1" w:themeTint="BF"/>
    </w:rPr>
  </w:style>
  <w:style w:type="paragraph" w:styleId="ListParagraph">
    <w:name w:val="List Paragraph"/>
    <w:basedOn w:val="Normal"/>
    <w:uiPriority w:val="34"/>
    <w:qFormat/>
    <w:rsid w:val="00C7234F"/>
    <w:pPr>
      <w:ind w:left="720"/>
      <w:contextualSpacing/>
    </w:pPr>
  </w:style>
  <w:style w:type="character" w:styleId="IntenseEmphasis">
    <w:name w:val="Intense Emphasis"/>
    <w:basedOn w:val="DefaultParagraphFont"/>
    <w:uiPriority w:val="21"/>
    <w:qFormat/>
    <w:rsid w:val="00C7234F"/>
    <w:rPr>
      <w:i/>
      <w:iCs/>
      <w:color w:val="0F4761" w:themeColor="accent1" w:themeShade="BF"/>
    </w:rPr>
  </w:style>
  <w:style w:type="paragraph" w:styleId="IntenseQuote">
    <w:name w:val="Intense Quote"/>
    <w:basedOn w:val="Normal"/>
    <w:next w:val="Normal"/>
    <w:link w:val="IntenseQuoteChar"/>
    <w:uiPriority w:val="30"/>
    <w:qFormat/>
    <w:rsid w:val="00C723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234F"/>
    <w:rPr>
      <w:i/>
      <w:iCs/>
      <w:color w:val="0F4761" w:themeColor="accent1" w:themeShade="BF"/>
    </w:rPr>
  </w:style>
  <w:style w:type="character" w:styleId="IntenseReference">
    <w:name w:val="Intense Reference"/>
    <w:basedOn w:val="DefaultParagraphFont"/>
    <w:uiPriority w:val="32"/>
    <w:qFormat/>
    <w:rsid w:val="00C7234F"/>
    <w:rPr>
      <w:b/>
      <w:bCs/>
      <w:smallCaps/>
      <w:color w:val="0F4761" w:themeColor="accent1" w:themeShade="BF"/>
      <w:spacing w:val="5"/>
    </w:rPr>
  </w:style>
  <w:style w:type="character" w:styleId="CommentReference">
    <w:name w:val="annotation reference"/>
    <w:basedOn w:val="DefaultParagraphFont"/>
    <w:uiPriority w:val="99"/>
    <w:semiHidden/>
    <w:unhideWhenUsed/>
    <w:rsid w:val="00C7234F"/>
    <w:rPr>
      <w:sz w:val="16"/>
      <w:szCs w:val="16"/>
    </w:rPr>
  </w:style>
  <w:style w:type="paragraph" w:styleId="CommentText">
    <w:name w:val="annotation text"/>
    <w:basedOn w:val="Normal"/>
    <w:link w:val="CommentTextChar"/>
    <w:uiPriority w:val="99"/>
    <w:unhideWhenUsed/>
    <w:rsid w:val="00C7234F"/>
    <w:pPr>
      <w:spacing w:before="240" w:after="120" w:line="276" w:lineRule="auto"/>
    </w:pPr>
    <w:rPr>
      <w:rFonts w:ascii="Arial" w:eastAsia="Arial" w:hAnsi="Arial" w:cs="Times New Roman"/>
      <w:kern w:val="0"/>
      <w:sz w:val="20"/>
      <w:szCs w:val="20"/>
    </w:rPr>
  </w:style>
  <w:style w:type="character" w:customStyle="1" w:styleId="CommentTextChar">
    <w:name w:val="Comment Text Char"/>
    <w:basedOn w:val="DefaultParagraphFont"/>
    <w:link w:val="CommentText"/>
    <w:uiPriority w:val="99"/>
    <w:rsid w:val="00C7234F"/>
    <w:rPr>
      <w:rFonts w:ascii="Arial" w:eastAsia="Arial" w:hAnsi="Arial" w:cs="Times New Roman"/>
      <w:kern w:val="0"/>
      <w:sz w:val="20"/>
      <w:szCs w:val="20"/>
    </w:rPr>
  </w:style>
  <w:style w:type="character" w:styleId="Hyperlink">
    <w:name w:val="Hyperlink"/>
    <w:basedOn w:val="DefaultParagraphFont"/>
    <w:uiPriority w:val="99"/>
    <w:rsid w:val="00C7234F"/>
    <w:rPr>
      <w:color w:val="1D70B8"/>
      <w:u w:val="single"/>
    </w:rPr>
  </w:style>
  <w:style w:type="paragraph" w:styleId="FootnoteText">
    <w:name w:val="footnote text"/>
    <w:basedOn w:val="Normal"/>
    <w:link w:val="FootnoteTextChar"/>
    <w:uiPriority w:val="99"/>
    <w:unhideWhenUsed/>
    <w:rsid w:val="00C7234F"/>
    <w:pPr>
      <w:spacing w:before="240" w:after="0" w:line="276" w:lineRule="auto"/>
    </w:pPr>
    <w:rPr>
      <w:rFonts w:eastAsiaTheme="minorEastAsia"/>
      <w:kern w:val="0"/>
      <w:sz w:val="20"/>
      <w:szCs w:val="20"/>
      <w:lang w:val="en-US"/>
    </w:rPr>
  </w:style>
  <w:style w:type="character" w:customStyle="1" w:styleId="FootnoteTextChar">
    <w:name w:val="Footnote Text Char"/>
    <w:basedOn w:val="DefaultParagraphFont"/>
    <w:link w:val="FootnoteText"/>
    <w:uiPriority w:val="99"/>
    <w:rsid w:val="00C7234F"/>
    <w:rPr>
      <w:rFonts w:eastAsiaTheme="minorEastAsia"/>
      <w:kern w:val="0"/>
      <w:sz w:val="20"/>
      <w:szCs w:val="20"/>
      <w:lang w:val="en-US"/>
    </w:rPr>
  </w:style>
  <w:style w:type="character" w:styleId="FootnoteReference">
    <w:name w:val="footnote reference"/>
    <w:basedOn w:val="DefaultParagraphFont"/>
    <w:uiPriority w:val="99"/>
    <w:semiHidden/>
    <w:unhideWhenUsed/>
    <w:rsid w:val="00C7234F"/>
    <w:rPr>
      <w:vertAlign w:val="superscript"/>
    </w:rPr>
  </w:style>
  <w:style w:type="character" w:styleId="UnresolvedMention">
    <w:name w:val="Unresolved Mention"/>
    <w:basedOn w:val="DefaultParagraphFont"/>
    <w:uiPriority w:val="99"/>
    <w:semiHidden/>
    <w:unhideWhenUsed/>
    <w:rsid w:val="0046218B"/>
    <w:rPr>
      <w:color w:val="605E5C"/>
      <w:shd w:val="clear" w:color="auto" w:fill="E1DFDD"/>
    </w:rPr>
  </w:style>
  <w:style w:type="paragraph" w:styleId="NoSpacing">
    <w:name w:val="No Spacing"/>
    <w:uiPriority w:val="1"/>
    <w:qFormat/>
    <w:rsid w:val="0046218B"/>
    <w:pPr>
      <w:spacing w:after="0" w:line="240" w:lineRule="auto"/>
    </w:pPr>
  </w:style>
  <w:style w:type="paragraph" w:styleId="Caption">
    <w:name w:val="caption"/>
    <w:basedOn w:val="Normal"/>
    <w:next w:val="Normal"/>
    <w:uiPriority w:val="35"/>
    <w:qFormat/>
    <w:rsid w:val="0046218B"/>
    <w:pPr>
      <w:spacing w:before="360" w:after="0" w:line="276" w:lineRule="auto"/>
    </w:pPr>
    <w:rPr>
      <w:rFonts w:ascii="Arial" w:eastAsia="Arial" w:hAnsi="Arial" w:cs="Times New Roman"/>
      <w:b/>
      <w:iCs/>
      <w:kern w:val="0"/>
      <w:szCs w:val="18"/>
    </w:rPr>
  </w:style>
  <w:style w:type="paragraph" w:styleId="Header">
    <w:name w:val="header"/>
    <w:basedOn w:val="Normal"/>
    <w:link w:val="HeaderChar"/>
    <w:uiPriority w:val="99"/>
    <w:unhideWhenUsed/>
    <w:rsid w:val="004621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218B"/>
  </w:style>
  <w:style w:type="paragraph" w:styleId="Footer">
    <w:name w:val="footer"/>
    <w:basedOn w:val="Normal"/>
    <w:link w:val="FooterChar"/>
    <w:uiPriority w:val="99"/>
    <w:unhideWhenUsed/>
    <w:rsid w:val="004621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218B"/>
  </w:style>
  <w:style w:type="paragraph" w:styleId="TOCHeading">
    <w:name w:val="TOC Heading"/>
    <w:basedOn w:val="Heading1"/>
    <w:next w:val="Normal"/>
    <w:uiPriority w:val="39"/>
    <w:unhideWhenUsed/>
    <w:qFormat/>
    <w:rsid w:val="0046218B"/>
    <w:pPr>
      <w:spacing w:before="240" w:after="0"/>
      <w:outlineLvl w:val="9"/>
    </w:pPr>
    <w:rPr>
      <w:kern w:val="0"/>
      <w:sz w:val="32"/>
      <w:szCs w:val="32"/>
      <w:lang w:eastAsia="en-GB"/>
    </w:rPr>
  </w:style>
  <w:style w:type="paragraph" w:styleId="TOC1">
    <w:name w:val="toc 1"/>
    <w:basedOn w:val="Normal"/>
    <w:next w:val="Normal"/>
    <w:autoRedefine/>
    <w:uiPriority w:val="39"/>
    <w:unhideWhenUsed/>
    <w:rsid w:val="0046218B"/>
    <w:pPr>
      <w:spacing w:after="100"/>
    </w:pPr>
  </w:style>
  <w:style w:type="paragraph" w:styleId="TOC2">
    <w:name w:val="toc 2"/>
    <w:basedOn w:val="Normal"/>
    <w:next w:val="Normal"/>
    <w:autoRedefine/>
    <w:uiPriority w:val="39"/>
    <w:unhideWhenUsed/>
    <w:rsid w:val="0046218B"/>
    <w:pPr>
      <w:spacing w:after="100"/>
      <w:ind w:left="220"/>
    </w:pPr>
  </w:style>
  <w:style w:type="table" w:styleId="PlainTable2">
    <w:name w:val="Plain Table 2"/>
    <w:basedOn w:val="TableNormal"/>
    <w:uiPriority w:val="99"/>
    <w:rsid w:val="0046218B"/>
    <w:pPr>
      <w:spacing w:after="0" w:line="240" w:lineRule="auto"/>
    </w:pPr>
    <w:rPr>
      <w:rFonts w:ascii="Arial" w:eastAsia="Arial" w:hAnsi="Arial" w:cs="Times New Roman"/>
      <w:kern w:val="0"/>
      <w:sz w:val="20"/>
      <w:szCs w:val="20"/>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ndNoteBibliography">
    <w:name w:val="EndNote Bibliography"/>
    <w:basedOn w:val="Normal"/>
    <w:link w:val="EndNoteBibliographyChar"/>
    <w:rsid w:val="00D13D09"/>
    <w:pPr>
      <w:spacing w:line="240" w:lineRule="auto"/>
    </w:pPr>
    <w:rPr>
      <w:rFonts w:ascii="Aptos" w:hAnsi="Aptos"/>
      <w:noProof/>
      <w:lang w:val="en-US"/>
    </w:rPr>
  </w:style>
  <w:style w:type="character" w:customStyle="1" w:styleId="EndNoteBibliographyChar">
    <w:name w:val="EndNote Bibliography Char"/>
    <w:basedOn w:val="DefaultParagraphFont"/>
    <w:link w:val="EndNoteBibliography"/>
    <w:rsid w:val="00D13D09"/>
    <w:rPr>
      <w:rFonts w:ascii="Aptos" w:hAnsi="Aptos"/>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19919">
      <w:bodyDiv w:val="1"/>
      <w:marLeft w:val="0"/>
      <w:marRight w:val="0"/>
      <w:marTop w:val="0"/>
      <w:marBottom w:val="0"/>
      <w:divBdr>
        <w:top w:val="none" w:sz="0" w:space="0" w:color="auto"/>
        <w:left w:val="none" w:sz="0" w:space="0" w:color="auto"/>
        <w:bottom w:val="none" w:sz="0" w:space="0" w:color="auto"/>
        <w:right w:val="none" w:sz="0" w:space="0" w:color="auto"/>
      </w:divBdr>
    </w:div>
    <w:div w:id="613679762">
      <w:bodyDiv w:val="1"/>
      <w:marLeft w:val="0"/>
      <w:marRight w:val="0"/>
      <w:marTop w:val="0"/>
      <w:marBottom w:val="0"/>
      <w:divBdr>
        <w:top w:val="none" w:sz="0" w:space="0" w:color="auto"/>
        <w:left w:val="none" w:sz="0" w:space="0" w:color="auto"/>
        <w:bottom w:val="none" w:sz="0" w:space="0" w:color="auto"/>
        <w:right w:val="none" w:sz="0" w:space="0" w:color="auto"/>
      </w:divBdr>
    </w:div>
    <w:div w:id="908269962">
      <w:bodyDiv w:val="1"/>
      <w:marLeft w:val="0"/>
      <w:marRight w:val="0"/>
      <w:marTop w:val="0"/>
      <w:marBottom w:val="0"/>
      <w:divBdr>
        <w:top w:val="none" w:sz="0" w:space="0" w:color="auto"/>
        <w:left w:val="none" w:sz="0" w:space="0" w:color="auto"/>
        <w:bottom w:val="none" w:sz="0" w:space="0" w:color="auto"/>
        <w:right w:val="none" w:sz="0" w:space="0" w:color="auto"/>
      </w:divBdr>
    </w:div>
    <w:div w:id="1136991264">
      <w:bodyDiv w:val="1"/>
      <w:marLeft w:val="0"/>
      <w:marRight w:val="0"/>
      <w:marTop w:val="0"/>
      <w:marBottom w:val="0"/>
      <w:divBdr>
        <w:top w:val="none" w:sz="0" w:space="0" w:color="auto"/>
        <w:left w:val="none" w:sz="0" w:space="0" w:color="auto"/>
        <w:bottom w:val="none" w:sz="0" w:space="0" w:color="auto"/>
        <w:right w:val="none" w:sz="0" w:space="0" w:color="auto"/>
      </w:divBdr>
    </w:div>
    <w:div w:id="1219633631">
      <w:bodyDiv w:val="1"/>
      <w:marLeft w:val="0"/>
      <w:marRight w:val="0"/>
      <w:marTop w:val="0"/>
      <w:marBottom w:val="0"/>
      <w:divBdr>
        <w:top w:val="none" w:sz="0" w:space="0" w:color="auto"/>
        <w:left w:val="none" w:sz="0" w:space="0" w:color="auto"/>
        <w:bottom w:val="none" w:sz="0" w:space="0" w:color="auto"/>
        <w:right w:val="none" w:sz="0" w:space="0" w:color="auto"/>
      </w:divBdr>
    </w:div>
    <w:div w:id="155654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e.ceh.ac.uk/id/26efc506-a265-4bb1-8296-d6988ab8d71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5285/fd918e24-4fd8-4e32-867a-b1a1fe74ce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atalogue.ceh.ac.uk/id/26efc506-a265-4bb1-8296-d6988ab8d714" TargetMode="External"/><Relationship Id="rId4" Type="http://schemas.openxmlformats.org/officeDocument/2006/relationships/settings" Target="settings.xml"/><Relationship Id="rId9" Type="http://schemas.openxmlformats.org/officeDocument/2006/relationships/hyperlink" Target="https://doi.org/10.5285/fd918e24-4fd8-4e32-867a-b1a1fe74ce1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F59B-7EDE-40C2-BD1B-B710569D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Maria de la Barra</dc:creator>
  <cp:keywords/>
  <dc:description/>
  <cp:lastModifiedBy>Claire Wells</cp:lastModifiedBy>
  <cp:revision>18</cp:revision>
  <dcterms:created xsi:type="dcterms:W3CDTF">2026-06-01T16:04:00Z</dcterms:created>
  <dcterms:modified xsi:type="dcterms:W3CDTF">2026-07-06T13:05:00Z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66a85731-10c7-4ae9-8d47-3e178e08496b</vt:lpwstr>
  </property>
</Properties>
</file>