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F9A75" w14:textId="77777777" w:rsidR="00C57DDE" w:rsidRDefault="00D54CAF">
      <w:pPr>
        <w:pStyle w:val="BodyText"/>
        <w:spacing w:after="0"/>
        <w:contextualSpacing/>
        <w:rPr>
          <w:b/>
          <w:bCs/>
          <w:color w:val="000000"/>
        </w:rPr>
      </w:pPr>
      <w:r>
        <w:rPr>
          <w:b/>
          <w:bCs/>
          <w:color w:val="000000"/>
        </w:rPr>
        <w:t>Supporting Documentation:  Flammability metrics from cone calorimetry for common wildfire fuels sampled in Great Britain from 2021-2023</w:t>
      </w:r>
    </w:p>
    <w:p w14:paraId="70AF9A76" w14:textId="77777777" w:rsidR="00C57DDE" w:rsidRDefault="00C57DDE">
      <w:pPr>
        <w:contextualSpacing/>
        <w:rPr>
          <w:color w:val="000000"/>
        </w:rPr>
      </w:pPr>
    </w:p>
    <w:p w14:paraId="70AF9A77" w14:textId="4F2FFB79" w:rsidR="00C57DDE" w:rsidRDefault="00D54CAF">
      <w:pPr>
        <w:contextualSpacing/>
        <w:rPr>
          <w:color w:val="000000"/>
        </w:rPr>
      </w:pPr>
      <w:r>
        <w:rPr>
          <w:color w:val="000000"/>
        </w:rPr>
        <w:t>Belcher</w:t>
      </w:r>
      <w:r w:rsidR="00A10988">
        <w:rPr>
          <w:color w:val="000000"/>
        </w:rPr>
        <w:t>, C.</w:t>
      </w:r>
      <w:r w:rsidR="00524738">
        <w:rPr>
          <w:color w:val="000000"/>
        </w:rPr>
        <w:t>M.</w:t>
      </w:r>
      <w:r>
        <w:rPr>
          <w:rStyle w:val="FootnoteReference"/>
          <w:color w:val="000000"/>
        </w:rPr>
        <w:footnoteReference w:id="1"/>
      </w:r>
      <w:r>
        <w:rPr>
          <w:color w:val="000000"/>
        </w:rPr>
        <w:t>, Baker</w:t>
      </w:r>
      <w:r w:rsidR="00524738">
        <w:rPr>
          <w:color w:val="000000"/>
        </w:rPr>
        <w:t>, S.J.</w:t>
      </w:r>
      <w:r>
        <w:rPr>
          <w:color w:val="000000"/>
          <w:vertAlign w:val="superscript"/>
        </w:rPr>
        <w:t>1,</w:t>
      </w:r>
      <w:r>
        <w:rPr>
          <w:rStyle w:val="FootnoteReference"/>
          <w:color w:val="000000"/>
        </w:rPr>
        <w:footnoteReference w:id="2"/>
      </w:r>
      <w:r>
        <w:rPr>
          <w:color w:val="000000"/>
        </w:rPr>
        <w:t>, Clay</w:t>
      </w:r>
      <w:r w:rsidR="00524738">
        <w:rPr>
          <w:color w:val="000000"/>
        </w:rPr>
        <w:t>, G.D.</w:t>
      </w:r>
      <w:r>
        <w:rPr>
          <w:rStyle w:val="FootnoteReference"/>
          <w:color w:val="000000"/>
        </w:rPr>
        <w:footnoteReference w:id="3"/>
      </w:r>
      <w:r>
        <w:rPr>
          <w:color w:val="000000"/>
        </w:rPr>
        <w:t>, Crawford</w:t>
      </w:r>
      <w:r w:rsidR="00524738">
        <w:rPr>
          <w:color w:val="000000"/>
        </w:rPr>
        <w:t>, A.J.</w:t>
      </w:r>
      <w:r>
        <w:rPr>
          <w:color w:val="000000"/>
          <w:vertAlign w:val="superscript"/>
        </w:rPr>
        <w:t>1</w:t>
      </w:r>
      <w:r>
        <w:rPr>
          <w:color w:val="000000"/>
        </w:rPr>
        <w:t>, Doerr</w:t>
      </w:r>
      <w:r w:rsidR="00524738">
        <w:rPr>
          <w:color w:val="000000"/>
        </w:rPr>
        <w:t xml:space="preserve">, </w:t>
      </w:r>
      <w:r w:rsidR="00D629D5">
        <w:rPr>
          <w:color w:val="000000"/>
        </w:rPr>
        <w:t>S.H.</w:t>
      </w:r>
      <w:r>
        <w:rPr>
          <w:color w:val="000000"/>
          <w:vertAlign w:val="superscript"/>
        </w:rPr>
        <w:t>2</w:t>
      </w:r>
      <w:r>
        <w:rPr>
          <w:color w:val="000000"/>
        </w:rPr>
        <w:t>, Elliott</w:t>
      </w:r>
      <w:r w:rsidR="00D629D5">
        <w:rPr>
          <w:color w:val="000000"/>
        </w:rPr>
        <w:t>, A.</w:t>
      </w:r>
      <w:r>
        <w:rPr>
          <w:color w:val="000000"/>
          <w:vertAlign w:val="superscript"/>
        </w:rPr>
        <w:t>1,</w:t>
      </w:r>
      <w:r>
        <w:rPr>
          <w:rStyle w:val="FootnoteReference"/>
          <w:color w:val="000000"/>
        </w:rPr>
        <w:footnoteReference w:id="4"/>
      </w:r>
      <w:r>
        <w:rPr>
          <w:color w:val="000000"/>
        </w:rPr>
        <w:t>, Ivison</w:t>
      </w:r>
      <w:r w:rsidR="00D629D5">
        <w:rPr>
          <w:color w:val="000000"/>
        </w:rPr>
        <w:t>, K.</w:t>
      </w:r>
      <w:r>
        <w:rPr>
          <w:color w:val="000000"/>
          <w:vertAlign w:val="superscript"/>
        </w:rPr>
        <w:t>4</w:t>
      </w:r>
      <w:r>
        <w:rPr>
          <w:color w:val="000000"/>
        </w:rPr>
        <w:t xml:space="preserve">, </w:t>
      </w:r>
      <w:r>
        <w:rPr>
          <w:color w:val="000000"/>
        </w:rPr>
        <w:t>Kettridge</w:t>
      </w:r>
      <w:r w:rsidR="00D629D5">
        <w:rPr>
          <w:color w:val="000000"/>
        </w:rPr>
        <w:t>, N.</w:t>
      </w:r>
      <w:r>
        <w:rPr>
          <w:color w:val="000000"/>
          <w:vertAlign w:val="superscript"/>
        </w:rPr>
        <w:t>4</w:t>
      </w:r>
      <w:r>
        <w:rPr>
          <w:color w:val="000000"/>
        </w:rPr>
        <w:t>, Little</w:t>
      </w:r>
      <w:r w:rsidR="00D629D5">
        <w:rPr>
          <w:color w:val="000000"/>
        </w:rPr>
        <w:t>, K</w:t>
      </w:r>
      <w:r w:rsidR="00D91A28">
        <w:rPr>
          <w:color w:val="000000"/>
        </w:rPr>
        <w:t>.</w:t>
      </w:r>
      <w:r>
        <w:rPr>
          <w:color w:val="000000"/>
          <w:vertAlign w:val="superscript"/>
        </w:rPr>
        <w:t>4</w:t>
      </w:r>
      <w:r>
        <w:rPr>
          <w:color w:val="000000"/>
        </w:rPr>
        <w:t>, Morison</w:t>
      </w:r>
      <w:r w:rsidR="00D91A28">
        <w:rPr>
          <w:color w:val="000000"/>
        </w:rPr>
        <w:t>, J.</w:t>
      </w:r>
      <w:proofErr w:type="gramStart"/>
      <w:r w:rsidR="00D91A28">
        <w:rPr>
          <w:color w:val="000000"/>
        </w:rPr>
        <w:t>I.L</w:t>
      </w:r>
      <w:proofErr w:type="gramEnd"/>
      <w:r>
        <w:rPr>
          <w:rStyle w:val="FootnoteReference"/>
          <w:color w:val="000000"/>
        </w:rPr>
        <w:footnoteReference w:id="5"/>
      </w:r>
      <w:r>
        <w:rPr>
          <w:color w:val="000000"/>
        </w:rPr>
        <w:t>,</w:t>
      </w:r>
      <w:r w:rsidR="0051377C">
        <w:rPr>
          <w:color w:val="000000"/>
        </w:rPr>
        <w:t xml:space="preserve"> </w:t>
      </w:r>
      <w:proofErr w:type="spellStart"/>
      <w:r>
        <w:rPr>
          <w:color w:val="000000"/>
        </w:rPr>
        <w:t>Nikonovas</w:t>
      </w:r>
      <w:proofErr w:type="spellEnd"/>
      <w:r w:rsidR="0051377C">
        <w:rPr>
          <w:color w:val="000000"/>
        </w:rPr>
        <w:t>, T.</w:t>
      </w:r>
      <w:r>
        <w:rPr>
          <w:color w:val="000000"/>
          <w:vertAlign w:val="superscript"/>
        </w:rPr>
        <w:t>2</w:t>
      </w:r>
      <w:r>
        <w:rPr>
          <w:color w:val="000000"/>
        </w:rPr>
        <w:t>, Orpin</w:t>
      </w:r>
      <w:r w:rsidR="0051377C">
        <w:rPr>
          <w:color w:val="000000"/>
        </w:rPr>
        <w:t>, A.</w:t>
      </w:r>
      <w:r>
        <w:rPr>
          <w:color w:val="000000"/>
          <w:vertAlign w:val="superscript"/>
        </w:rPr>
        <w:t>4</w:t>
      </w:r>
      <w:r>
        <w:rPr>
          <w:color w:val="000000"/>
        </w:rPr>
        <w:t xml:space="preserve">, </w:t>
      </w:r>
      <w:proofErr w:type="spellStart"/>
      <w:r>
        <w:rPr>
          <w:color w:val="000000"/>
        </w:rPr>
        <w:t>Tatkiewicz</w:t>
      </w:r>
      <w:proofErr w:type="spellEnd"/>
      <w:r w:rsidR="0051377C">
        <w:rPr>
          <w:color w:val="000000"/>
        </w:rPr>
        <w:t>, W.</w:t>
      </w:r>
      <w:r>
        <w:rPr>
          <w:color w:val="000000"/>
          <w:vertAlign w:val="superscript"/>
        </w:rPr>
        <w:t xml:space="preserve">1 </w:t>
      </w:r>
      <w:r>
        <w:rPr>
          <w:color w:val="000000"/>
        </w:rPr>
        <w:t>&amp; Vitali</w:t>
      </w:r>
      <w:r w:rsidR="0051377C">
        <w:rPr>
          <w:color w:val="000000"/>
        </w:rPr>
        <w:t>, R.</w:t>
      </w:r>
      <w:r>
        <w:rPr>
          <w:color w:val="000000"/>
          <w:vertAlign w:val="superscript"/>
        </w:rPr>
        <w:t>1</w:t>
      </w:r>
    </w:p>
    <w:p w14:paraId="70AF9A78" w14:textId="77777777" w:rsidR="00C57DDE" w:rsidRDefault="00C57DDE">
      <w:pPr>
        <w:contextualSpacing/>
        <w:rPr>
          <w:b/>
          <w:bCs/>
          <w:color w:val="000000"/>
        </w:rPr>
      </w:pPr>
    </w:p>
    <w:p w14:paraId="70AF9A79" w14:textId="77777777" w:rsidR="00C57DDE" w:rsidRDefault="00C57DDE">
      <w:pPr>
        <w:contextualSpacing/>
        <w:rPr>
          <w:b/>
          <w:bCs/>
          <w:color w:val="000000"/>
        </w:rPr>
      </w:pPr>
    </w:p>
    <w:p w14:paraId="70AF9A7A" w14:textId="77777777" w:rsidR="00C57DDE" w:rsidRDefault="00D54CAF">
      <w:pPr>
        <w:contextualSpacing/>
        <w:rPr>
          <w:b/>
          <w:bCs/>
          <w:color w:val="000000"/>
        </w:rPr>
      </w:pPr>
      <w:r>
        <w:rPr>
          <w:b/>
          <w:bCs/>
          <w:color w:val="000000"/>
        </w:rPr>
        <w:t>Overview &amp; aims</w:t>
      </w:r>
    </w:p>
    <w:p w14:paraId="70AF9A7B" w14:textId="77777777" w:rsidR="00C57DDE" w:rsidRDefault="00C57DDE">
      <w:pPr>
        <w:contextualSpacing/>
        <w:rPr>
          <w:color w:val="000000"/>
        </w:rPr>
      </w:pPr>
    </w:p>
    <w:p w14:paraId="70AF9A7C" w14:textId="58070874" w:rsidR="00C57DDE" w:rsidRDefault="00D54CAF">
      <w:pPr>
        <w:contextualSpacing/>
        <w:rPr>
          <w:color w:val="000000"/>
        </w:rPr>
      </w:pPr>
      <w:r>
        <w:rPr>
          <w:color w:val="000000"/>
        </w:rPr>
        <w:t xml:space="preserve">This dataset contains flammability metrics for fuel types that are commonly involved in wildfires in the UK.  Flammability data were obtained by cone calorimetry and include measures of </w:t>
      </w:r>
      <w:r w:rsidR="00F403DE">
        <w:rPr>
          <w:color w:val="000000"/>
        </w:rPr>
        <w:t>ignitability</w:t>
      </w:r>
      <w:r>
        <w:rPr>
          <w:color w:val="000000"/>
        </w:rPr>
        <w:t xml:space="preserve"> (time to ignition), peak heat release rate, total heat release, and effective heat of combustion.  The dataset contains the results of 1634 tests on 833 fuel samples, with 801 of those being tested in duplicate.  Samples were obtained between January 2021 and October 2023 from 22 sites across Great Britain.  Calorimetry data are matched to weather data obtained at times of sampling, and fuel moisture contents obtained by weighing samples before and after drying.  The data will be used to assess</w:t>
      </w:r>
      <w:r>
        <w:rPr>
          <w:color w:val="000000"/>
        </w:rPr>
        <w:t xml:space="preserve"> comparative fire risk between vegetation types, and to refine inputs for fire behaviour modelling.</w:t>
      </w:r>
    </w:p>
    <w:p w14:paraId="70AF9A7D" w14:textId="77777777" w:rsidR="00C57DDE" w:rsidRDefault="00C57DDE">
      <w:pPr>
        <w:contextualSpacing/>
        <w:rPr>
          <w:rStyle w:val="Strong"/>
          <w:b w:val="0"/>
          <w:bCs w:val="0"/>
          <w:color w:val="000000"/>
        </w:rPr>
      </w:pPr>
    </w:p>
    <w:p w14:paraId="70AF9A7E" w14:textId="77777777" w:rsidR="00C57DDE" w:rsidRDefault="00D54CAF">
      <w:pPr>
        <w:contextualSpacing/>
      </w:pPr>
      <w:r>
        <w:rPr>
          <w:rStyle w:val="Strong"/>
          <w:b w:val="0"/>
          <w:bCs w:val="0"/>
          <w:color w:val="000000"/>
        </w:rPr>
        <w:t>The dataset addresses a key research question (RQ 3.1) of the UKFDRS project: “</w:t>
      </w:r>
      <w:r>
        <w:rPr>
          <w:color w:val="000000"/>
        </w:rPr>
        <w:t xml:space="preserve">How variable is the core flammability and energy content of key UK land cover types in time and space?”  Its potential to inform work on fire behaviour </w:t>
      </w:r>
      <w:proofErr w:type="spellStart"/>
      <w:r>
        <w:rPr>
          <w:color w:val="000000"/>
        </w:rPr>
        <w:t>modeling</w:t>
      </w:r>
      <w:proofErr w:type="spellEnd"/>
      <w:r>
        <w:rPr>
          <w:color w:val="000000"/>
        </w:rPr>
        <w:t xml:space="preserve"> will also contribute to answering RQ 3.2: “How does fire behaviour vary in key UK land covers across the seasons?”</w:t>
      </w:r>
    </w:p>
    <w:p w14:paraId="70AF9A7F" w14:textId="77777777" w:rsidR="00C57DDE" w:rsidRDefault="00C57DDE">
      <w:pPr>
        <w:contextualSpacing/>
        <w:rPr>
          <w:color w:val="000000"/>
        </w:rPr>
      </w:pPr>
    </w:p>
    <w:p w14:paraId="70AF9A80" w14:textId="77777777" w:rsidR="00C57DDE" w:rsidRDefault="00C57DDE">
      <w:pPr>
        <w:pStyle w:val="BodyText"/>
        <w:spacing w:after="0"/>
        <w:contextualSpacing/>
        <w:rPr>
          <w:color w:val="000000"/>
        </w:rPr>
      </w:pPr>
    </w:p>
    <w:p w14:paraId="70AF9A81" w14:textId="77777777" w:rsidR="00C57DDE" w:rsidRDefault="00D54CAF">
      <w:pPr>
        <w:contextualSpacing/>
        <w:rPr>
          <w:b/>
          <w:bCs/>
          <w:color w:val="000000"/>
        </w:rPr>
      </w:pPr>
      <w:r>
        <w:rPr>
          <w:b/>
          <w:bCs/>
          <w:color w:val="000000"/>
        </w:rPr>
        <w:t>Data structure &amp; variables</w:t>
      </w:r>
    </w:p>
    <w:p w14:paraId="70AF9A82" w14:textId="77777777" w:rsidR="00C57DDE" w:rsidRDefault="00C57DDE">
      <w:pPr>
        <w:contextualSpacing/>
        <w:rPr>
          <w:color w:val="000000"/>
        </w:rPr>
      </w:pPr>
    </w:p>
    <w:p w14:paraId="70AF9A83" w14:textId="77777777" w:rsidR="00C57DDE" w:rsidRDefault="00D54CAF">
      <w:pPr>
        <w:contextualSpacing/>
        <w:rPr>
          <w:color w:val="000000"/>
        </w:rPr>
      </w:pPr>
      <w:r>
        <w:rPr>
          <w:color w:val="000000"/>
        </w:rPr>
        <w:t>The single CSV file contains 1634 cases (rows), where each represents one fuel sample subjected to cone calorimetry.  It includes the following 16 variables (columns):</w:t>
      </w:r>
    </w:p>
    <w:p w14:paraId="70AF9A84" w14:textId="77777777" w:rsidR="00C57DDE" w:rsidRDefault="00C57DDE">
      <w:pPr>
        <w:contextualSpacing/>
        <w:rPr>
          <w:color w:val="000000"/>
        </w:rPr>
      </w:pPr>
    </w:p>
    <w:p w14:paraId="70AF9A85" w14:textId="77777777" w:rsidR="00C57DDE" w:rsidRDefault="00D54CAF">
      <w:pPr>
        <w:contextualSpacing/>
        <w:rPr>
          <w:color w:val="000000"/>
        </w:rPr>
      </w:pPr>
      <w:r>
        <w:rPr>
          <w:i/>
          <w:iCs/>
          <w:color w:val="000000"/>
        </w:rPr>
        <w:t>Date:</w:t>
      </w:r>
      <w:r>
        <w:rPr>
          <w:color w:val="000000"/>
        </w:rPr>
        <w:t xml:space="preserve">  The date on which the sample was collected.</w:t>
      </w:r>
    </w:p>
    <w:p w14:paraId="70AF9A86" w14:textId="77777777" w:rsidR="00C57DDE" w:rsidRDefault="00C57DDE">
      <w:pPr>
        <w:contextualSpacing/>
        <w:rPr>
          <w:color w:val="000000"/>
        </w:rPr>
      </w:pPr>
    </w:p>
    <w:p w14:paraId="70AF9A87" w14:textId="77777777" w:rsidR="00C57DDE" w:rsidRDefault="00D54CAF">
      <w:pPr>
        <w:contextualSpacing/>
        <w:rPr>
          <w:color w:val="000000"/>
        </w:rPr>
      </w:pPr>
      <w:r>
        <w:rPr>
          <w:i/>
          <w:iCs/>
          <w:color w:val="000000"/>
        </w:rPr>
        <w:t>Site:</w:t>
      </w:r>
      <w:r>
        <w:rPr>
          <w:color w:val="000000"/>
        </w:rPr>
        <w:t xml:space="preserve">  A site code identifying the site from which the sample was collected.  See Table 1 (below) for full names and coordinates of sites.</w:t>
      </w:r>
    </w:p>
    <w:p w14:paraId="70AF9A88" w14:textId="77777777" w:rsidR="00C57DDE" w:rsidRDefault="00C57DDE">
      <w:pPr>
        <w:contextualSpacing/>
        <w:rPr>
          <w:color w:val="000000"/>
        </w:rPr>
      </w:pPr>
    </w:p>
    <w:p w14:paraId="70AF9A89" w14:textId="77777777" w:rsidR="00C57DDE" w:rsidRDefault="00D54CAF">
      <w:pPr>
        <w:contextualSpacing/>
        <w:rPr>
          <w:color w:val="000000"/>
        </w:rPr>
      </w:pPr>
      <w:r>
        <w:rPr>
          <w:i/>
          <w:iCs/>
          <w:color w:val="000000"/>
        </w:rPr>
        <w:t>Fuel type:</w:t>
      </w:r>
      <w:r>
        <w:rPr>
          <w:color w:val="000000"/>
        </w:rPr>
        <w:t xml:space="preserve">  Whether standing vegetation or litter.</w:t>
      </w:r>
    </w:p>
    <w:p w14:paraId="70AF9A8A" w14:textId="77777777" w:rsidR="00C57DDE" w:rsidRDefault="00C57DDE">
      <w:pPr>
        <w:contextualSpacing/>
        <w:rPr>
          <w:color w:val="000000"/>
        </w:rPr>
      </w:pPr>
    </w:p>
    <w:p w14:paraId="70AF9A8B" w14:textId="77777777" w:rsidR="00C57DDE" w:rsidRDefault="00D54CAF">
      <w:pPr>
        <w:contextualSpacing/>
        <w:rPr>
          <w:color w:val="000000"/>
        </w:rPr>
      </w:pPr>
      <w:r>
        <w:rPr>
          <w:i/>
          <w:iCs/>
          <w:color w:val="000000"/>
        </w:rPr>
        <w:t>Species:</w:t>
      </w:r>
      <w:r>
        <w:rPr>
          <w:color w:val="000000"/>
        </w:rPr>
        <w:t xml:space="preserve">  The plant species from which the samples originate.  Where the fuel type is litter, this means the species forming </w:t>
      </w:r>
      <w:proofErr w:type="gramStart"/>
      <w:r>
        <w:rPr>
          <w:color w:val="000000"/>
        </w:rPr>
        <w:t>the majority of</w:t>
      </w:r>
      <w:proofErr w:type="gramEnd"/>
      <w:r>
        <w:rPr>
          <w:color w:val="000000"/>
        </w:rPr>
        <w:t xml:space="preserve"> the tree cover, but not necessarily the only species from which the sample originates.</w:t>
      </w:r>
    </w:p>
    <w:p w14:paraId="70AF9A8C" w14:textId="77777777" w:rsidR="00C57DDE" w:rsidRDefault="00C57DDE">
      <w:pPr>
        <w:contextualSpacing/>
        <w:rPr>
          <w:color w:val="000000"/>
        </w:rPr>
      </w:pPr>
    </w:p>
    <w:p w14:paraId="70AF9A8D" w14:textId="77777777" w:rsidR="00C57DDE" w:rsidRDefault="00D54CAF">
      <w:pPr>
        <w:contextualSpacing/>
        <w:rPr>
          <w:color w:val="000000"/>
        </w:rPr>
      </w:pPr>
      <w:r>
        <w:rPr>
          <w:i/>
          <w:iCs/>
          <w:color w:val="000000"/>
        </w:rPr>
        <w:t>Status:</w:t>
      </w:r>
      <w:r>
        <w:rPr>
          <w:color w:val="000000"/>
        </w:rPr>
        <w:t xml:space="preserve">  Whether the fuel sampled was </w:t>
      </w:r>
      <w:proofErr w:type="spellStart"/>
      <w:r>
        <w:rPr>
          <w:color w:val="000000"/>
        </w:rPr>
        <w:t>live</w:t>
      </w:r>
      <w:proofErr w:type="spellEnd"/>
      <w:r>
        <w:rPr>
          <w:color w:val="000000"/>
        </w:rPr>
        <w:t xml:space="preserve"> or dead (for standing vegetation only).</w:t>
      </w:r>
    </w:p>
    <w:p w14:paraId="70AF9A8E" w14:textId="77777777" w:rsidR="00C57DDE" w:rsidRDefault="00C57DDE">
      <w:pPr>
        <w:contextualSpacing/>
        <w:rPr>
          <w:color w:val="000000"/>
        </w:rPr>
      </w:pPr>
    </w:p>
    <w:p w14:paraId="70AF9A8F" w14:textId="77777777" w:rsidR="00C57DDE" w:rsidRDefault="00D54CAF">
      <w:pPr>
        <w:contextualSpacing/>
        <w:rPr>
          <w:color w:val="000000"/>
        </w:rPr>
      </w:pPr>
      <w:r>
        <w:rPr>
          <w:i/>
          <w:iCs/>
          <w:color w:val="000000"/>
        </w:rPr>
        <w:lastRenderedPageBreak/>
        <w:t>Replicate:</w:t>
      </w:r>
      <w:r>
        <w:rPr>
          <w:color w:val="000000"/>
        </w:rPr>
        <w:t xml:space="preserve">  An identifier (‘A’ or ‘B’) to differentiate the two subsamples that were subjected to cone calorimetry from each sample.</w:t>
      </w:r>
    </w:p>
    <w:p w14:paraId="70AF9A90" w14:textId="77777777" w:rsidR="00C57DDE" w:rsidRDefault="00C57DDE">
      <w:pPr>
        <w:contextualSpacing/>
        <w:rPr>
          <w:color w:val="000000"/>
        </w:rPr>
      </w:pPr>
    </w:p>
    <w:p w14:paraId="70AF9A91" w14:textId="77777777" w:rsidR="00C57DDE" w:rsidRDefault="00D54CAF">
      <w:pPr>
        <w:contextualSpacing/>
        <w:rPr>
          <w:color w:val="000000"/>
        </w:rPr>
      </w:pPr>
      <w:r>
        <w:rPr>
          <w:i/>
          <w:iCs/>
          <w:color w:val="000000"/>
        </w:rPr>
        <w:t>Temperature (</w:t>
      </w:r>
      <w:r>
        <w:rPr>
          <w:rFonts w:ascii="Liberation Sans" w:hAnsi="Liberation Sans"/>
          <w:i/>
          <w:iCs/>
          <w:color w:val="000000"/>
        </w:rPr>
        <w:t>°</w:t>
      </w:r>
      <w:r>
        <w:rPr>
          <w:i/>
          <w:iCs/>
          <w:color w:val="000000"/>
        </w:rPr>
        <w:t>C):</w:t>
      </w:r>
      <w:r>
        <w:rPr>
          <w:color w:val="000000"/>
        </w:rPr>
        <w:t xml:space="preserve">  The air temperature recorded at the time and place of sampling.</w:t>
      </w:r>
    </w:p>
    <w:p w14:paraId="70AF9A92" w14:textId="77777777" w:rsidR="00C57DDE" w:rsidRDefault="00C57DDE">
      <w:pPr>
        <w:contextualSpacing/>
        <w:rPr>
          <w:color w:val="000000"/>
        </w:rPr>
      </w:pPr>
    </w:p>
    <w:p w14:paraId="70AF9A93" w14:textId="77777777" w:rsidR="00C57DDE" w:rsidRDefault="00D54CAF">
      <w:pPr>
        <w:contextualSpacing/>
        <w:rPr>
          <w:color w:val="000000"/>
        </w:rPr>
      </w:pPr>
      <w:r>
        <w:rPr>
          <w:i/>
          <w:iCs/>
          <w:color w:val="000000"/>
        </w:rPr>
        <w:t>RH (%):</w:t>
      </w:r>
      <w:r>
        <w:rPr>
          <w:color w:val="000000"/>
        </w:rPr>
        <w:t xml:space="preserve">  The relative humidity recorded at the time and place of sampling.</w:t>
      </w:r>
    </w:p>
    <w:p w14:paraId="70AF9A94" w14:textId="77777777" w:rsidR="00C57DDE" w:rsidRDefault="00C57DDE">
      <w:pPr>
        <w:contextualSpacing/>
        <w:rPr>
          <w:color w:val="000000"/>
        </w:rPr>
      </w:pPr>
    </w:p>
    <w:p w14:paraId="70AF9A95" w14:textId="77777777" w:rsidR="00C57DDE" w:rsidRDefault="00D54CAF">
      <w:pPr>
        <w:contextualSpacing/>
        <w:rPr>
          <w:color w:val="000000"/>
        </w:rPr>
      </w:pPr>
      <w:r>
        <w:rPr>
          <w:i/>
          <w:iCs/>
          <w:color w:val="000000"/>
        </w:rPr>
        <w:t>Wind Speed (m s</w:t>
      </w:r>
      <w:r>
        <w:rPr>
          <w:i/>
          <w:iCs/>
          <w:color w:val="000000"/>
          <w:vertAlign w:val="superscript"/>
        </w:rPr>
        <w:t>-1</w:t>
      </w:r>
      <w:r>
        <w:rPr>
          <w:i/>
          <w:iCs/>
          <w:color w:val="000000"/>
        </w:rPr>
        <w:t>):</w:t>
      </w:r>
      <w:r>
        <w:rPr>
          <w:color w:val="000000"/>
        </w:rPr>
        <w:t xml:space="preserve">  The wind speed recorded at the time and place of sampling.</w:t>
      </w:r>
    </w:p>
    <w:p w14:paraId="70AF9A96" w14:textId="77777777" w:rsidR="00C57DDE" w:rsidRDefault="00C57DDE">
      <w:pPr>
        <w:contextualSpacing/>
        <w:rPr>
          <w:color w:val="000000"/>
        </w:rPr>
      </w:pPr>
    </w:p>
    <w:p w14:paraId="70AF9A97" w14:textId="77777777" w:rsidR="00C57DDE" w:rsidRDefault="00D54CAF">
      <w:pPr>
        <w:contextualSpacing/>
        <w:rPr>
          <w:color w:val="000000"/>
        </w:rPr>
      </w:pPr>
      <w:r>
        <w:rPr>
          <w:i/>
          <w:iCs/>
          <w:color w:val="000000"/>
        </w:rPr>
        <w:t>Fuel Moisture (%):</w:t>
      </w:r>
      <w:r>
        <w:rPr>
          <w:color w:val="000000"/>
        </w:rPr>
        <w:t xml:space="preserve">  The moisture content of the sample, expressed as a percentage of dry mass.  There is a single value for every pair of replicates, as each sample had one subsample taken for moisture analysis and two for calorimetric analysis.</w:t>
      </w:r>
    </w:p>
    <w:p w14:paraId="70AF9A98" w14:textId="77777777" w:rsidR="00C57DDE" w:rsidRDefault="00C57DDE">
      <w:pPr>
        <w:contextualSpacing/>
        <w:rPr>
          <w:color w:val="000000"/>
        </w:rPr>
      </w:pPr>
    </w:p>
    <w:p w14:paraId="70AF9A99" w14:textId="77777777" w:rsidR="00C57DDE" w:rsidRDefault="00D54CAF">
      <w:pPr>
        <w:contextualSpacing/>
        <w:rPr>
          <w:color w:val="000000"/>
        </w:rPr>
      </w:pPr>
      <w:r>
        <w:rPr>
          <w:i/>
          <w:iCs/>
          <w:color w:val="000000"/>
        </w:rPr>
        <w:t>Duff moisture (%):</w:t>
      </w:r>
      <w:r>
        <w:rPr>
          <w:color w:val="000000"/>
        </w:rPr>
        <w:t xml:space="preserve">  The moisture content of the duff underlying a litter sample, expressed as a percentage of dry mass.</w:t>
      </w:r>
    </w:p>
    <w:p w14:paraId="70AF9A9A" w14:textId="77777777" w:rsidR="00C57DDE" w:rsidRDefault="00C57DDE">
      <w:pPr>
        <w:contextualSpacing/>
        <w:rPr>
          <w:color w:val="000000"/>
        </w:rPr>
      </w:pPr>
    </w:p>
    <w:p w14:paraId="70AF9A9B" w14:textId="77777777" w:rsidR="00C57DDE" w:rsidRDefault="00D54CAF">
      <w:pPr>
        <w:contextualSpacing/>
        <w:rPr>
          <w:color w:val="000000"/>
        </w:rPr>
      </w:pPr>
      <w:r>
        <w:rPr>
          <w:i/>
          <w:iCs/>
          <w:color w:val="000000"/>
        </w:rPr>
        <w:t>Ignition:</w:t>
      </w:r>
      <w:r>
        <w:rPr>
          <w:color w:val="000000"/>
        </w:rPr>
        <w:t xml:space="preserve">  Whether the sample ignited to produce flaming combustion (indicated by ‘1’) or not (indicated by ‘0’).</w:t>
      </w:r>
    </w:p>
    <w:p w14:paraId="70AF9A9C" w14:textId="77777777" w:rsidR="00C57DDE" w:rsidRDefault="00C57DDE">
      <w:pPr>
        <w:contextualSpacing/>
        <w:rPr>
          <w:color w:val="000000"/>
        </w:rPr>
      </w:pPr>
    </w:p>
    <w:p w14:paraId="70AF9A9D" w14:textId="77777777" w:rsidR="00C57DDE" w:rsidRDefault="00D54CAF">
      <w:pPr>
        <w:contextualSpacing/>
        <w:rPr>
          <w:color w:val="000000"/>
        </w:rPr>
      </w:pPr>
      <w:r>
        <w:rPr>
          <w:i/>
          <w:iCs/>
          <w:color w:val="000000"/>
        </w:rPr>
        <w:t>TTI (s):</w:t>
      </w:r>
      <w:r>
        <w:rPr>
          <w:color w:val="000000"/>
        </w:rPr>
        <w:t xml:space="preserve">  Time to ignition, defined as the time elapsed between exposing the sample beneath the heating element and the beginning of flaming combustion.</w:t>
      </w:r>
    </w:p>
    <w:p w14:paraId="70AF9A9E" w14:textId="77777777" w:rsidR="00C57DDE" w:rsidRDefault="00C57DDE">
      <w:pPr>
        <w:contextualSpacing/>
        <w:rPr>
          <w:color w:val="000000"/>
        </w:rPr>
      </w:pPr>
    </w:p>
    <w:p w14:paraId="70AF9A9F" w14:textId="77777777" w:rsidR="00C57DDE" w:rsidRDefault="00D54CAF">
      <w:pPr>
        <w:contextualSpacing/>
        <w:rPr>
          <w:color w:val="000000"/>
        </w:rPr>
      </w:pPr>
      <w:r>
        <w:rPr>
          <w:i/>
          <w:iCs/>
          <w:color w:val="000000"/>
        </w:rPr>
        <w:t>PHRR (kW m</w:t>
      </w:r>
      <w:r>
        <w:rPr>
          <w:i/>
          <w:iCs/>
          <w:color w:val="000000"/>
          <w:vertAlign w:val="superscript"/>
        </w:rPr>
        <w:t>-2</w:t>
      </w:r>
      <w:r>
        <w:rPr>
          <w:i/>
          <w:iCs/>
          <w:color w:val="000000"/>
        </w:rPr>
        <w:t>):</w:t>
      </w:r>
      <w:r>
        <w:rPr>
          <w:color w:val="000000"/>
        </w:rPr>
        <w:t xml:space="preserve">  Peak heat release rate, the maximum rate of heat release attained during the test.</w:t>
      </w:r>
    </w:p>
    <w:p w14:paraId="70AF9AA0" w14:textId="77777777" w:rsidR="00C57DDE" w:rsidRDefault="00C57DDE">
      <w:pPr>
        <w:contextualSpacing/>
        <w:rPr>
          <w:color w:val="000000"/>
        </w:rPr>
      </w:pPr>
    </w:p>
    <w:p w14:paraId="70AF9AA1" w14:textId="77777777" w:rsidR="00C57DDE" w:rsidRDefault="00D54CAF">
      <w:pPr>
        <w:contextualSpacing/>
        <w:rPr>
          <w:color w:val="000000"/>
        </w:rPr>
      </w:pPr>
      <w:r>
        <w:rPr>
          <w:i/>
          <w:iCs/>
          <w:color w:val="000000"/>
        </w:rPr>
        <w:t>THR (MJ m</w:t>
      </w:r>
      <w:r>
        <w:rPr>
          <w:i/>
          <w:iCs/>
          <w:color w:val="000000"/>
          <w:vertAlign w:val="superscript"/>
        </w:rPr>
        <w:t>-2</w:t>
      </w:r>
      <w:r>
        <w:rPr>
          <w:i/>
          <w:iCs/>
          <w:color w:val="000000"/>
        </w:rPr>
        <w:t>):</w:t>
      </w:r>
      <w:r>
        <w:rPr>
          <w:color w:val="000000"/>
        </w:rPr>
        <w:t xml:space="preserve">  Total heat release, the cumulative heat release per unit area (i.e. horizontal area) of the fuel sample. </w:t>
      </w:r>
    </w:p>
    <w:p w14:paraId="70AF9AA2" w14:textId="77777777" w:rsidR="00C57DDE" w:rsidRDefault="00C57DDE">
      <w:pPr>
        <w:contextualSpacing/>
        <w:rPr>
          <w:color w:val="000000"/>
        </w:rPr>
      </w:pPr>
    </w:p>
    <w:p w14:paraId="70AF9AA3" w14:textId="77777777" w:rsidR="00C57DDE" w:rsidRDefault="00D54CAF">
      <w:pPr>
        <w:contextualSpacing/>
        <w:rPr>
          <w:color w:val="000000"/>
        </w:rPr>
      </w:pPr>
      <w:r>
        <w:rPr>
          <w:i/>
          <w:iCs/>
          <w:color w:val="000000"/>
        </w:rPr>
        <w:t>EHC (MJ kg</w:t>
      </w:r>
      <w:r>
        <w:rPr>
          <w:i/>
          <w:iCs/>
          <w:color w:val="000000"/>
          <w:vertAlign w:val="superscript"/>
        </w:rPr>
        <w:t>-1</w:t>
      </w:r>
      <w:r>
        <w:rPr>
          <w:i/>
          <w:iCs/>
          <w:color w:val="000000"/>
        </w:rPr>
        <w:t>):</w:t>
      </w:r>
      <w:r>
        <w:rPr>
          <w:color w:val="000000"/>
        </w:rPr>
        <w:t xml:space="preserve">  Effective heat of combustion, the cumulative heat release per unit mass of fuel consumed.</w:t>
      </w:r>
    </w:p>
    <w:p w14:paraId="70AF9AA4" w14:textId="77777777" w:rsidR="00C57DDE" w:rsidRDefault="00C57DDE">
      <w:pPr>
        <w:contextualSpacing/>
        <w:rPr>
          <w:color w:val="000000"/>
        </w:rPr>
      </w:pPr>
    </w:p>
    <w:p w14:paraId="70AF9AA5" w14:textId="77777777" w:rsidR="00C57DDE" w:rsidRDefault="00D54CAF">
      <w:pPr>
        <w:contextualSpacing/>
        <w:rPr>
          <w:color w:val="000000"/>
        </w:rPr>
      </w:pPr>
      <w:r>
        <w:rPr>
          <w:color w:val="000000"/>
        </w:rPr>
        <w:t xml:space="preserve">Missing values are left as blank cells.  Cells are also blank where the variable is not relevant to the </w:t>
      </w:r>
      <w:proofErr w:type="gramStart"/>
      <w:r>
        <w:rPr>
          <w:color w:val="000000"/>
        </w:rPr>
        <w:t>particular case</w:t>
      </w:r>
      <w:proofErr w:type="gramEnd"/>
      <w:r>
        <w:rPr>
          <w:color w:val="000000"/>
        </w:rPr>
        <w:t xml:space="preserve"> (such as time to ignition for a sample that did not ignite).</w:t>
      </w:r>
    </w:p>
    <w:p w14:paraId="70AF9AA6" w14:textId="77777777" w:rsidR="00C57DDE" w:rsidRDefault="00C57DDE">
      <w:pPr>
        <w:contextualSpacing/>
        <w:rPr>
          <w:color w:val="000000"/>
        </w:rPr>
      </w:pPr>
    </w:p>
    <w:p w14:paraId="70AF9AA7" w14:textId="77777777" w:rsidR="00C57DDE" w:rsidRDefault="00C57DDE">
      <w:pPr>
        <w:contextualSpacing/>
        <w:rPr>
          <w:color w:val="000000"/>
        </w:rPr>
      </w:pPr>
    </w:p>
    <w:p w14:paraId="70AF9AA8" w14:textId="77777777" w:rsidR="00C57DDE" w:rsidRDefault="00D54CAF">
      <w:pPr>
        <w:contextualSpacing/>
        <w:rPr>
          <w:b/>
          <w:bCs/>
          <w:color w:val="000000"/>
        </w:rPr>
      </w:pPr>
      <w:r>
        <w:rPr>
          <w:b/>
          <w:bCs/>
          <w:color w:val="000000"/>
        </w:rPr>
        <w:t>Methods</w:t>
      </w:r>
    </w:p>
    <w:p w14:paraId="70AF9AA9" w14:textId="77777777" w:rsidR="00C57DDE" w:rsidRDefault="00C57DDE">
      <w:pPr>
        <w:contextualSpacing/>
        <w:rPr>
          <w:color w:val="000000"/>
        </w:rPr>
      </w:pPr>
    </w:p>
    <w:p w14:paraId="70AF9AAA" w14:textId="77777777" w:rsidR="00C57DDE" w:rsidRDefault="00D54CAF">
      <w:pPr>
        <w:contextualSpacing/>
        <w:rPr>
          <w:color w:val="000000"/>
        </w:rPr>
      </w:pPr>
      <w:r>
        <w:rPr>
          <w:color w:val="000000"/>
        </w:rPr>
        <w:t>The samples were collected from 22 sites across Great Britain, as listed in Table 1.  The general sampling regime included: (1) fortnightly sampling of lowland heath vegetation from March 2021 to February 2022; (2) monthly sampling of forest plantation litter from July 2022 to July 2023; and (3) monthly sampling of upland heaths and moorlands from July 2022 to July 2023, with sampling occasionally prevented by weather conditions or travel restrictions.  As data for low fuel moisture conditions is of particu</w:t>
      </w:r>
      <w:r>
        <w:rPr>
          <w:color w:val="000000"/>
        </w:rPr>
        <w:t xml:space="preserve">lar importance, further sampling of lowland heaths was undertaken on days without precipitation, and additional sampling at one site (Woodbury Common) focused on periods of dry weather from May to October 2023.  Whether dead and/or live fuel samples were present varied seasonally according to species, and a small number of collected samples were lost during </w:t>
      </w:r>
      <w:proofErr w:type="gramStart"/>
      <w:r>
        <w:rPr>
          <w:color w:val="000000"/>
        </w:rPr>
        <w:t>processing, or</w:t>
      </w:r>
      <w:proofErr w:type="gramEnd"/>
      <w:r>
        <w:rPr>
          <w:color w:val="000000"/>
        </w:rPr>
        <w:t xml:space="preserve"> contained insufficient material to use two replicates for flammability testing.  Weather data were recorded on </w:t>
      </w:r>
      <w:proofErr w:type="gramStart"/>
      <w:r>
        <w:rPr>
          <w:color w:val="000000"/>
        </w:rPr>
        <w:t>the majority of</w:t>
      </w:r>
      <w:proofErr w:type="gramEnd"/>
      <w:r>
        <w:rPr>
          <w:color w:val="000000"/>
        </w:rPr>
        <w:t xml:space="preserve"> sampling o</w:t>
      </w:r>
      <w:r>
        <w:rPr>
          <w:color w:val="000000"/>
        </w:rPr>
        <w:t>ccasions; this depended on the equipment available at the time and location and is therefore not consistent across the dataset.  Some individual weather data, fuel moisture values, and TTI values and are missing due to human error.</w:t>
      </w:r>
    </w:p>
    <w:p w14:paraId="70AF9AAB" w14:textId="77777777" w:rsidR="00C57DDE" w:rsidRDefault="00C57DDE">
      <w:pPr>
        <w:contextualSpacing/>
        <w:rPr>
          <w:color w:val="000000"/>
        </w:rPr>
      </w:pPr>
    </w:p>
    <w:p w14:paraId="70AF9AAC" w14:textId="77777777" w:rsidR="00C57DDE" w:rsidRDefault="00D54CAF">
      <w:pPr>
        <w:contextualSpacing/>
        <w:rPr>
          <w:color w:val="000000"/>
        </w:rPr>
      </w:pPr>
      <w:r>
        <w:rPr>
          <w:color w:val="000000"/>
        </w:rPr>
        <w:t xml:space="preserve">Shrubs were sampled by cutting approximately the top 15 cm of the canopy, and non-woody plants by taking the whole aboveground plant.  Each litter sample was collected at a single point, and the duff samples from immediately beneath.  Weather data were recorded with a Kestrel 5400FW or 3550FW Fire Weather Meter (Kestrel instruments, USA).  Moisture content was preserved by sealing samples in zip-lock polythene bags (litter and vegetation) or polythene tubes (duff).  Laboratory processing began typically 24 </w:t>
      </w:r>
      <w:r>
        <w:rPr>
          <w:color w:val="000000"/>
        </w:rPr>
        <w:t>hours after collection, excepting lowland heath vegetation which was tested on the day of collection.</w:t>
      </w:r>
    </w:p>
    <w:p w14:paraId="70AF9AAD" w14:textId="77777777" w:rsidR="00C57DDE" w:rsidRDefault="00C57DDE">
      <w:pPr>
        <w:contextualSpacing/>
        <w:rPr>
          <w:color w:val="000000"/>
        </w:rPr>
      </w:pPr>
    </w:p>
    <w:p w14:paraId="70AF9AAE" w14:textId="77777777" w:rsidR="00C57DDE" w:rsidRDefault="00D54CAF">
      <w:pPr>
        <w:contextualSpacing/>
        <w:rPr>
          <w:i/>
          <w:iCs/>
          <w:color w:val="000000"/>
        </w:rPr>
      </w:pPr>
      <w:r>
        <w:rPr>
          <w:i/>
          <w:iCs/>
          <w:color w:val="000000"/>
        </w:rPr>
        <w:t>Table 1: The site name, latitude and longitude, for each site code used in the dataset.</w:t>
      </w:r>
    </w:p>
    <w:tbl>
      <w:tblPr>
        <w:tblW w:w="9608" w:type="dxa"/>
        <w:tblLayout w:type="fixed"/>
        <w:tblCellMar>
          <w:top w:w="28" w:type="dxa"/>
          <w:left w:w="28" w:type="dxa"/>
          <w:bottom w:w="28" w:type="dxa"/>
          <w:right w:w="28" w:type="dxa"/>
        </w:tblCellMar>
        <w:tblLook w:val="0000" w:firstRow="0" w:lastRow="0" w:firstColumn="0" w:lastColumn="0" w:noHBand="0" w:noVBand="0"/>
      </w:tblPr>
      <w:tblGrid>
        <w:gridCol w:w="2239"/>
        <w:gridCol w:w="4713"/>
        <w:gridCol w:w="1331"/>
        <w:gridCol w:w="1325"/>
      </w:tblGrid>
      <w:tr w:rsidR="00C57DDE" w14:paraId="70AF9AB3" w14:textId="77777777">
        <w:trPr>
          <w:trHeight w:val="311"/>
        </w:trPr>
        <w:tc>
          <w:tcPr>
            <w:tcW w:w="2239" w:type="dxa"/>
            <w:vAlign w:val="center"/>
          </w:tcPr>
          <w:p w14:paraId="70AF9AAF" w14:textId="77777777" w:rsidR="00C57DDE" w:rsidRDefault="00D54CAF">
            <w:pPr>
              <w:pStyle w:val="TableContents"/>
              <w:contextualSpacing/>
              <w:rPr>
                <w:b/>
                <w:bCs/>
                <w:color w:val="000000"/>
                <w:sz w:val="20"/>
                <w:szCs w:val="20"/>
              </w:rPr>
            </w:pPr>
            <w:r>
              <w:rPr>
                <w:b/>
                <w:bCs/>
                <w:color w:val="000000"/>
                <w:sz w:val="20"/>
                <w:szCs w:val="20"/>
              </w:rPr>
              <w:t>Site code</w:t>
            </w:r>
          </w:p>
        </w:tc>
        <w:tc>
          <w:tcPr>
            <w:tcW w:w="4713" w:type="dxa"/>
            <w:vAlign w:val="center"/>
          </w:tcPr>
          <w:p w14:paraId="70AF9AB0" w14:textId="77777777" w:rsidR="00C57DDE" w:rsidRDefault="00D54CAF">
            <w:pPr>
              <w:pStyle w:val="TableContents"/>
              <w:contextualSpacing/>
              <w:rPr>
                <w:b/>
                <w:bCs/>
                <w:color w:val="000000"/>
                <w:sz w:val="20"/>
                <w:szCs w:val="20"/>
              </w:rPr>
            </w:pPr>
            <w:r>
              <w:rPr>
                <w:b/>
                <w:bCs/>
                <w:color w:val="000000"/>
                <w:sz w:val="20"/>
                <w:szCs w:val="20"/>
              </w:rPr>
              <w:t>Site name</w:t>
            </w:r>
          </w:p>
        </w:tc>
        <w:tc>
          <w:tcPr>
            <w:tcW w:w="1331" w:type="dxa"/>
            <w:vAlign w:val="center"/>
          </w:tcPr>
          <w:p w14:paraId="70AF9AB1" w14:textId="77777777" w:rsidR="00C57DDE" w:rsidRDefault="00D54CAF">
            <w:pPr>
              <w:pStyle w:val="TableContents"/>
              <w:contextualSpacing/>
              <w:rPr>
                <w:b/>
                <w:bCs/>
                <w:color w:val="000000"/>
                <w:sz w:val="20"/>
                <w:szCs w:val="20"/>
              </w:rPr>
            </w:pPr>
            <w:r>
              <w:rPr>
                <w:b/>
                <w:bCs/>
                <w:color w:val="000000"/>
                <w:sz w:val="20"/>
                <w:szCs w:val="20"/>
              </w:rPr>
              <w:t>Latitude</w:t>
            </w:r>
          </w:p>
        </w:tc>
        <w:tc>
          <w:tcPr>
            <w:tcW w:w="1325" w:type="dxa"/>
            <w:vAlign w:val="center"/>
          </w:tcPr>
          <w:p w14:paraId="70AF9AB2" w14:textId="77777777" w:rsidR="00C57DDE" w:rsidRDefault="00D54CAF">
            <w:pPr>
              <w:pStyle w:val="TableContents"/>
              <w:contextualSpacing/>
              <w:rPr>
                <w:b/>
                <w:bCs/>
                <w:color w:val="000000"/>
                <w:sz w:val="20"/>
                <w:szCs w:val="20"/>
              </w:rPr>
            </w:pPr>
            <w:r>
              <w:rPr>
                <w:b/>
                <w:bCs/>
                <w:color w:val="000000"/>
                <w:sz w:val="20"/>
                <w:szCs w:val="20"/>
              </w:rPr>
              <w:t>Longitude</w:t>
            </w:r>
          </w:p>
        </w:tc>
      </w:tr>
      <w:tr w:rsidR="00C57DDE" w14:paraId="70AF9AB8" w14:textId="77777777">
        <w:trPr>
          <w:trHeight w:val="311"/>
        </w:trPr>
        <w:tc>
          <w:tcPr>
            <w:tcW w:w="2239" w:type="dxa"/>
            <w:vAlign w:val="center"/>
          </w:tcPr>
          <w:p w14:paraId="70AF9AB4" w14:textId="77777777" w:rsidR="00C57DDE" w:rsidRDefault="00D54CAF">
            <w:pPr>
              <w:pStyle w:val="TableContents"/>
              <w:contextualSpacing/>
              <w:rPr>
                <w:color w:val="000000"/>
                <w:sz w:val="20"/>
                <w:szCs w:val="20"/>
              </w:rPr>
            </w:pPr>
            <w:proofErr w:type="spellStart"/>
            <w:r>
              <w:rPr>
                <w:color w:val="000000"/>
                <w:sz w:val="20"/>
                <w:szCs w:val="20"/>
              </w:rPr>
              <w:t>Scootmore</w:t>
            </w:r>
            <w:proofErr w:type="spellEnd"/>
          </w:p>
        </w:tc>
        <w:tc>
          <w:tcPr>
            <w:tcW w:w="4713" w:type="dxa"/>
            <w:vAlign w:val="center"/>
          </w:tcPr>
          <w:p w14:paraId="70AF9AB5" w14:textId="77777777" w:rsidR="00C57DDE" w:rsidRDefault="00D54CAF">
            <w:pPr>
              <w:pStyle w:val="TableContents"/>
              <w:contextualSpacing/>
              <w:rPr>
                <w:color w:val="000000"/>
                <w:sz w:val="20"/>
                <w:szCs w:val="20"/>
              </w:rPr>
            </w:pPr>
            <w:proofErr w:type="spellStart"/>
            <w:r>
              <w:rPr>
                <w:color w:val="000000"/>
                <w:sz w:val="20"/>
                <w:szCs w:val="20"/>
              </w:rPr>
              <w:t>Scootmore</w:t>
            </w:r>
            <w:proofErr w:type="spellEnd"/>
            <w:r>
              <w:rPr>
                <w:color w:val="000000"/>
                <w:sz w:val="20"/>
                <w:szCs w:val="20"/>
              </w:rPr>
              <w:t xml:space="preserve"> Forest</w:t>
            </w:r>
          </w:p>
        </w:tc>
        <w:tc>
          <w:tcPr>
            <w:tcW w:w="1331" w:type="dxa"/>
            <w:vAlign w:val="center"/>
          </w:tcPr>
          <w:p w14:paraId="70AF9AB6" w14:textId="77777777" w:rsidR="00C57DDE" w:rsidRDefault="00D54CAF">
            <w:pPr>
              <w:pStyle w:val="TableContents"/>
              <w:contextualSpacing/>
              <w:rPr>
                <w:color w:val="000000"/>
                <w:sz w:val="20"/>
                <w:szCs w:val="20"/>
              </w:rPr>
            </w:pPr>
            <w:r>
              <w:rPr>
                <w:color w:val="000000"/>
                <w:sz w:val="20"/>
                <w:szCs w:val="20"/>
              </w:rPr>
              <w:t>57.43° N</w:t>
            </w:r>
          </w:p>
        </w:tc>
        <w:tc>
          <w:tcPr>
            <w:tcW w:w="1325" w:type="dxa"/>
            <w:vAlign w:val="center"/>
          </w:tcPr>
          <w:p w14:paraId="70AF9AB7" w14:textId="77777777" w:rsidR="00C57DDE" w:rsidRDefault="00D54CAF">
            <w:pPr>
              <w:pStyle w:val="TableContents"/>
              <w:contextualSpacing/>
              <w:rPr>
                <w:color w:val="000000"/>
                <w:sz w:val="20"/>
                <w:szCs w:val="20"/>
              </w:rPr>
            </w:pPr>
            <w:r>
              <w:rPr>
                <w:color w:val="000000"/>
                <w:sz w:val="20"/>
                <w:szCs w:val="20"/>
              </w:rPr>
              <w:t>3.39° W</w:t>
            </w:r>
          </w:p>
        </w:tc>
      </w:tr>
      <w:tr w:rsidR="00C57DDE" w14:paraId="70AF9ABD" w14:textId="77777777">
        <w:trPr>
          <w:trHeight w:val="311"/>
        </w:trPr>
        <w:tc>
          <w:tcPr>
            <w:tcW w:w="2239" w:type="dxa"/>
            <w:vAlign w:val="center"/>
          </w:tcPr>
          <w:p w14:paraId="70AF9AB9" w14:textId="77777777" w:rsidR="00C57DDE" w:rsidRDefault="00D54CAF">
            <w:pPr>
              <w:pStyle w:val="TableContents"/>
              <w:contextualSpacing/>
              <w:rPr>
                <w:color w:val="000000"/>
                <w:sz w:val="20"/>
                <w:szCs w:val="20"/>
              </w:rPr>
            </w:pPr>
            <w:proofErr w:type="spellStart"/>
            <w:r>
              <w:rPr>
                <w:color w:val="000000"/>
                <w:sz w:val="20"/>
                <w:szCs w:val="20"/>
              </w:rPr>
              <w:t>Danby_W</w:t>
            </w:r>
            <w:proofErr w:type="spellEnd"/>
          </w:p>
        </w:tc>
        <w:tc>
          <w:tcPr>
            <w:tcW w:w="4713" w:type="dxa"/>
            <w:vAlign w:val="center"/>
          </w:tcPr>
          <w:p w14:paraId="70AF9ABA" w14:textId="77777777" w:rsidR="00C57DDE" w:rsidRDefault="00D54CAF">
            <w:pPr>
              <w:pStyle w:val="TableContents"/>
              <w:contextualSpacing/>
              <w:rPr>
                <w:color w:val="000000"/>
                <w:sz w:val="20"/>
                <w:szCs w:val="20"/>
              </w:rPr>
            </w:pPr>
            <w:r>
              <w:rPr>
                <w:color w:val="000000"/>
                <w:sz w:val="20"/>
                <w:szCs w:val="20"/>
              </w:rPr>
              <w:t>Danby West</w:t>
            </w:r>
          </w:p>
        </w:tc>
        <w:tc>
          <w:tcPr>
            <w:tcW w:w="1331" w:type="dxa"/>
            <w:vAlign w:val="center"/>
          </w:tcPr>
          <w:p w14:paraId="70AF9ABB" w14:textId="77777777" w:rsidR="00C57DDE" w:rsidRDefault="00D54CAF">
            <w:pPr>
              <w:pStyle w:val="TableContents"/>
              <w:contextualSpacing/>
              <w:rPr>
                <w:color w:val="000000"/>
                <w:sz w:val="20"/>
                <w:szCs w:val="20"/>
              </w:rPr>
            </w:pPr>
            <w:r>
              <w:rPr>
                <w:color w:val="000000"/>
                <w:sz w:val="20"/>
                <w:szCs w:val="20"/>
              </w:rPr>
              <w:t>54.41° N</w:t>
            </w:r>
          </w:p>
        </w:tc>
        <w:tc>
          <w:tcPr>
            <w:tcW w:w="1325" w:type="dxa"/>
            <w:vAlign w:val="center"/>
          </w:tcPr>
          <w:p w14:paraId="70AF9ABC" w14:textId="77777777" w:rsidR="00C57DDE" w:rsidRDefault="00D54CAF">
            <w:pPr>
              <w:pStyle w:val="TableContents"/>
              <w:contextualSpacing/>
              <w:rPr>
                <w:color w:val="000000"/>
                <w:sz w:val="20"/>
                <w:szCs w:val="20"/>
              </w:rPr>
            </w:pPr>
            <w:r>
              <w:rPr>
                <w:color w:val="000000"/>
                <w:sz w:val="20"/>
                <w:szCs w:val="20"/>
              </w:rPr>
              <w:t>0.92° W</w:t>
            </w:r>
          </w:p>
        </w:tc>
      </w:tr>
      <w:tr w:rsidR="00C57DDE" w14:paraId="70AF9AC2" w14:textId="77777777">
        <w:trPr>
          <w:trHeight w:val="311"/>
        </w:trPr>
        <w:tc>
          <w:tcPr>
            <w:tcW w:w="2239" w:type="dxa"/>
            <w:vAlign w:val="center"/>
          </w:tcPr>
          <w:p w14:paraId="70AF9ABE" w14:textId="77777777" w:rsidR="00C57DDE" w:rsidRDefault="00D54CAF">
            <w:pPr>
              <w:pStyle w:val="TableContents"/>
              <w:contextualSpacing/>
              <w:rPr>
                <w:color w:val="000000"/>
                <w:sz w:val="20"/>
                <w:szCs w:val="20"/>
              </w:rPr>
            </w:pPr>
            <w:proofErr w:type="spellStart"/>
            <w:r>
              <w:rPr>
                <w:color w:val="000000"/>
                <w:sz w:val="20"/>
                <w:szCs w:val="20"/>
              </w:rPr>
              <w:t>Danby_E</w:t>
            </w:r>
            <w:proofErr w:type="spellEnd"/>
          </w:p>
        </w:tc>
        <w:tc>
          <w:tcPr>
            <w:tcW w:w="4713" w:type="dxa"/>
            <w:vAlign w:val="center"/>
          </w:tcPr>
          <w:p w14:paraId="70AF9ABF" w14:textId="77777777" w:rsidR="00C57DDE" w:rsidRDefault="00D54CAF">
            <w:pPr>
              <w:pStyle w:val="TableContents"/>
              <w:contextualSpacing/>
              <w:rPr>
                <w:color w:val="000000"/>
                <w:sz w:val="20"/>
                <w:szCs w:val="20"/>
              </w:rPr>
            </w:pPr>
            <w:r>
              <w:rPr>
                <w:color w:val="000000"/>
                <w:sz w:val="20"/>
                <w:szCs w:val="20"/>
              </w:rPr>
              <w:t>Danby East</w:t>
            </w:r>
          </w:p>
        </w:tc>
        <w:tc>
          <w:tcPr>
            <w:tcW w:w="1331" w:type="dxa"/>
            <w:vAlign w:val="center"/>
          </w:tcPr>
          <w:p w14:paraId="70AF9AC0" w14:textId="77777777" w:rsidR="00C57DDE" w:rsidRDefault="00D54CAF">
            <w:pPr>
              <w:pStyle w:val="TableContents"/>
              <w:contextualSpacing/>
              <w:rPr>
                <w:color w:val="000000"/>
                <w:sz w:val="20"/>
                <w:szCs w:val="20"/>
              </w:rPr>
            </w:pPr>
            <w:r>
              <w:rPr>
                <w:color w:val="000000"/>
                <w:sz w:val="20"/>
                <w:szCs w:val="20"/>
              </w:rPr>
              <w:t>54.41° N</w:t>
            </w:r>
          </w:p>
        </w:tc>
        <w:tc>
          <w:tcPr>
            <w:tcW w:w="1325" w:type="dxa"/>
            <w:vAlign w:val="center"/>
          </w:tcPr>
          <w:p w14:paraId="70AF9AC1" w14:textId="77777777" w:rsidR="00C57DDE" w:rsidRDefault="00D54CAF">
            <w:pPr>
              <w:pStyle w:val="TableContents"/>
              <w:contextualSpacing/>
              <w:rPr>
                <w:color w:val="000000"/>
                <w:sz w:val="20"/>
                <w:szCs w:val="20"/>
              </w:rPr>
            </w:pPr>
            <w:r>
              <w:rPr>
                <w:color w:val="000000"/>
                <w:sz w:val="20"/>
                <w:szCs w:val="20"/>
              </w:rPr>
              <w:t>0.90° W</w:t>
            </w:r>
          </w:p>
        </w:tc>
      </w:tr>
      <w:tr w:rsidR="00C57DDE" w14:paraId="70AF9AC7" w14:textId="77777777">
        <w:trPr>
          <w:trHeight w:val="311"/>
        </w:trPr>
        <w:tc>
          <w:tcPr>
            <w:tcW w:w="2239" w:type="dxa"/>
            <w:vAlign w:val="center"/>
          </w:tcPr>
          <w:p w14:paraId="70AF9AC3" w14:textId="77777777" w:rsidR="00C57DDE" w:rsidRDefault="00D54CAF">
            <w:pPr>
              <w:pStyle w:val="TableContents"/>
              <w:contextualSpacing/>
              <w:rPr>
                <w:color w:val="000000"/>
                <w:sz w:val="20"/>
                <w:szCs w:val="20"/>
              </w:rPr>
            </w:pPr>
            <w:proofErr w:type="spellStart"/>
            <w:r>
              <w:rPr>
                <w:color w:val="000000"/>
                <w:sz w:val="20"/>
                <w:szCs w:val="20"/>
              </w:rPr>
              <w:t>Goathland</w:t>
            </w:r>
            <w:proofErr w:type="spellEnd"/>
          </w:p>
        </w:tc>
        <w:tc>
          <w:tcPr>
            <w:tcW w:w="4713" w:type="dxa"/>
            <w:vAlign w:val="center"/>
          </w:tcPr>
          <w:p w14:paraId="70AF9AC4" w14:textId="77777777" w:rsidR="00C57DDE" w:rsidRDefault="00D54CAF">
            <w:pPr>
              <w:pStyle w:val="TableContents"/>
              <w:contextualSpacing/>
              <w:rPr>
                <w:color w:val="000000"/>
                <w:sz w:val="20"/>
                <w:szCs w:val="20"/>
              </w:rPr>
            </w:pPr>
            <w:proofErr w:type="spellStart"/>
            <w:r>
              <w:rPr>
                <w:color w:val="000000"/>
                <w:sz w:val="20"/>
                <w:szCs w:val="20"/>
              </w:rPr>
              <w:t>Goathland</w:t>
            </w:r>
            <w:proofErr w:type="spellEnd"/>
            <w:r>
              <w:rPr>
                <w:color w:val="000000"/>
                <w:sz w:val="20"/>
                <w:szCs w:val="20"/>
              </w:rPr>
              <w:t xml:space="preserve"> Moor East</w:t>
            </w:r>
          </w:p>
        </w:tc>
        <w:tc>
          <w:tcPr>
            <w:tcW w:w="1331" w:type="dxa"/>
            <w:vAlign w:val="center"/>
          </w:tcPr>
          <w:p w14:paraId="70AF9AC5" w14:textId="77777777" w:rsidR="00C57DDE" w:rsidRDefault="00D54CAF">
            <w:pPr>
              <w:pStyle w:val="TableContents"/>
              <w:contextualSpacing/>
              <w:rPr>
                <w:color w:val="000000"/>
                <w:sz w:val="20"/>
                <w:szCs w:val="20"/>
              </w:rPr>
            </w:pPr>
            <w:r>
              <w:rPr>
                <w:color w:val="000000"/>
                <w:sz w:val="20"/>
                <w:szCs w:val="20"/>
              </w:rPr>
              <w:t>54.37° N</w:t>
            </w:r>
          </w:p>
        </w:tc>
        <w:tc>
          <w:tcPr>
            <w:tcW w:w="1325" w:type="dxa"/>
            <w:vAlign w:val="center"/>
          </w:tcPr>
          <w:p w14:paraId="70AF9AC6" w14:textId="77777777" w:rsidR="00C57DDE" w:rsidRDefault="00D54CAF">
            <w:pPr>
              <w:pStyle w:val="TableContents"/>
              <w:contextualSpacing/>
              <w:rPr>
                <w:color w:val="000000"/>
                <w:sz w:val="20"/>
                <w:szCs w:val="20"/>
              </w:rPr>
            </w:pPr>
            <w:r>
              <w:rPr>
                <w:color w:val="000000"/>
                <w:sz w:val="20"/>
                <w:szCs w:val="20"/>
              </w:rPr>
              <w:t>0.68° W</w:t>
            </w:r>
          </w:p>
        </w:tc>
      </w:tr>
      <w:tr w:rsidR="00C57DDE" w14:paraId="70AF9ACC" w14:textId="77777777">
        <w:trPr>
          <w:trHeight w:val="311"/>
        </w:trPr>
        <w:tc>
          <w:tcPr>
            <w:tcW w:w="2239" w:type="dxa"/>
            <w:vAlign w:val="center"/>
          </w:tcPr>
          <w:p w14:paraId="70AF9AC8" w14:textId="77777777" w:rsidR="00C57DDE" w:rsidRDefault="00D54CAF">
            <w:pPr>
              <w:pStyle w:val="TableContents"/>
              <w:contextualSpacing/>
              <w:rPr>
                <w:color w:val="000000"/>
                <w:sz w:val="20"/>
                <w:szCs w:val="20"/>
              </w:rPr>
            </w:pPr>
            <w:r>
              <w:rPr>
                <w:color w:val="000000"/>
                <w:sz w:val="20"/>
                <w:szCs w:val="20"/>
              </w:rPr>
              <w:t>Wykeham</w:t>
            </w:r>
          </w:p>
        </w:tc>
        <w:tc>
          <w:tcPr>
            <w:tcW w:w="4713" w:type="dxa"/>
            <w:vAlign w:val="center"/>
          </w:tcPr>
          <w:p w14:paraId="70AF9AC9" w14:textId="77777777" w:rsidR="00C57DDE" w:rsidRDefault="00D54CAF">
            <w:pPr>
              <w:pStyle w:val="TableContents"/>
              <w:contextualSpacing/>
              <w:rPr>
                <w:color w:val="000000"/>
                <w:sz w:val="20"/>
                <w:szCs w:val="20"/>
              </w:rPr>
            </w:pPr>
            <w:r>
              <w:rPr>
                <w:color w:val="000000"/>
                <w:sz w:val="20"/>
                <w:szCs w:val="20"/>
              </w:rPr>
              <w:t>Wykeham Forest</w:t>
            </w:r>
          </w:p>
        </w:tc>
        <w:tc>
          <w:tcPr>
            <w:tcW w:w="1331" w:type="dxa"/>
            <w:vAlign w:val="center"/>
          </w:tcPr>
          <w:p w14:paraId="70AF9ACA" w14:textId="77777777" w:rsidR="00C57DDE" w:rsidRDefault="00D54CAF">
            <w:pPr>
              <w:pStyle w:val="TableContents"/>
              <w:contextualSpacing/>
              <w:rPr>
                <w:color w:val="000000"/>
                <w:sz w:val="20"/>
                <w:szCs w:val="20"/>
              </w:rPr>
            </w:pPr>
            <w:r>
              <w:rPr>
                <w:color w:val="000000"/>
                <w:sz w:val="20"/>
                <w:szCs w:val="20"/>
              </w:rPr>
              <w:t>54.28° N</w:t>
            </w:r>
          </w:p>
        </w:tc>
        <w:tc>
          <w:tcPr>
            <w:tcW w:w="1325" w:type="dxa"/>
            <w:vAlign w:val="center"/>
          </w:tcPr>
          <w:p w14:paraId="70AF9ACB" w14:textId="77777777" w:rsidR="00C57DDE" w:rsidRDefault="00D54CAF">
            <w:pPr>
              <w:pStyle w:val="TableContents"/>
              <w:contextualSpacing/>
              <w:rPr>
                <w:color w:val="000000"/>
                <w:sz w:val="20"/>
                <w:szCs w:val="20"/>
              </w:rPr>
            </w:pPr>
            <w:r>
              <w:rPr>
                <w:color w:val="000000"/>
                <w:sz w:val="20"/>
                <w:szCs w:val="20"/>
              </w:rPr>
              <w:t>0.58° W</w:t>
            </w:r>
          </w:p>
        </w:tc>
      </w:tr>
      <w:tr w:rsidR="00C57DDE" w14:paraId="70AF9AD1" w14:textId="77777777">
        <w:trPr>
          <w:trHeight w:val="311"/>
        </w:trPr>
        <w:tc>
          <w:tcPr>
            <w:tcW w:w="2239" w:type="dxa"/>
            <w:vAlign w:val="center"/>
          </w:tcPr>
          <w:p w14:paraId="70AF9ACD" w14:textId="77777777" w:rsidR="00C57DDE" w:rsidRDefault="00D54CAF">
            <w:pPr>
              <w:pStyle w:val="TableContents"/>
              <w:contextualSpacing/>
              <w:rPr>
                <w:color w:val="000000"/>
                <w:sz w:val="20"/>
                <w:szCs w:val="20"/>
              </w:rPr>
            </w:pPr>
            <w:r>
              <w:rPr>
                <w:color w:val="000000"/>
                <w:sz w:val="20"/>
                <w:szCs w:val="20"/>
              </w:rPr>
              <w:t>Marsden</w:t>
            </w:r>
          </w:p>
        </w:tc>
        <w:tc>
          <w:tcPr>
            <w:tcW w:w="4713" w:type="dxa"/>
            <w:vAlign w:val="center"/>
          </w:tcPr>
          <w:p w14:paraId="70AF9ACE" w14:textId="77777777" w:rsidR="00C57DDE" w:rsidRDefault="00D54CAF">
            <w:pPr>
              <w:pStyle w:val="TableContents"/>
              <w:contextualSpacing/>
              <w:rPr>
                <w:color w:val="000000"/>
                <w:sz w:val="20"/>
                <w:szCs w:val="20"/>
              </w:rPr>
            </w:pPr>
            <w:r>
              <w:rPr>
                <w:color w:val="000000"/>
                <w:sz w:val="20"/>
                <w:szCs w:val="20"/>
              </w:rPr>
              <w:t>Marsden Moor</w:t>
            </w:r>
          </w:p>
        </w:tc>
        <w:tc>
          <w:tcPr>
            <w:tcW w:w="1331" w:type="dxa"/>
            <w:vAlign w:val="center"/>
          </w:tcPr>
          <w:p w14:paraId="70AF9ACF" w14:textId="77777777" w:rsidR="00C57DDE" w:rsidRDefault="00D54CAF">
            <w:pPr>
              <w:pStyle w:val="TableContents"/>
              <w:contextualSpacing/>
              <w:rPr>
                <w:color w:val="000000"/>
                <w:sz w:val="20"/>
                <w:szCs w:val="20"/>
              </w:rPr>
            </w:pPr>
            <w:r>
              <w:rPr>
                <w:color w:val="000000"/>
                <w:sz w:val="20"/>
                <w:szCs w:val="20"/>
              </w:rPr>
              <w:t>53.55° N</w:t>
            </w:r>
          </w:p>
        </w:tc>
        <w:tc>
          <w:tcPr>
            <w:tcW w:w="1325" w:type="dxa"/>
            <w:vAlign w:val="center"/>
          </w:tcPr>
          <w:p w14:paraId="70AF9AD0" w14:textId="77777777" w:rsidR="00C57DDE" w:rsidRDefault="00D54CAF">
            <w:pPr>
              <w:pStyle w:val="TableContents"/>
              <w:contextualSpacing/>
              <w:rPr>
                <w:color w:val="000000"/>
                <w:sz w:val="20"/>
                <w:szCs w:val="20"/>
              </w:rPr>
            </w:pPr>
            <w:r>
              <w:rPr>
                <w:color w:val="000000"/>
                <w:sz w:val="20"/>
                <w:szCs w:val="20"/>
              </w:rPr>
              <w:t>1.92° W</w:t>
            </w:r>
          </w:p>
        </w:tc>
      </w:tr>
      <w:tr w:rsidR="00C57DDE" w14:paraId="70AF9AD6" w14:textId="77777777">
        <w:trPr>
          <w:trHeight w:val="311"/>
        </w:trPr>
        <w:tc>
          <w:tcPr>
            <w:tcW w:w="2239" w:type="dxa"/>
            <w:vAlign w:val="center"/>
          </w:tcPr>
          <w:p w14:paraId="70AF9AD2" w14:textId="77777777" w:rsidR="00C57DDE" w:rsidRDefault="00D54CAF">
            <w:pPr>
              <w:pStyle w:val="TableContents"/>
              <w:contextualSpacing/>
              <w:rPr>
                <w:color w:val="000000"/>
                <w:sz w:val="20"/>
                <w:szCs w:val="20"/>
              </w:rPr>
            </w:pPr>
            <w:proofErr w:type="spellStart"/>
            <w:r>
              <w:rPr>
                <w:color w:val="000000"/>
                <w:sz w:val="20"/>
                <w:szCs w:val="20"/>
              </w:rPr>
              <w:t>Hope_Bog</w:t>
            </w:r>
            <w:proofErr w:type="spellEnd"/>
          </w:p>
        </w:tc>
        <w:tc>
          <w:tcPr>
            <w:tcW w:w="4713" w:type="dxa"/>
            <w:vAlign w:val="center"/>
          </w:tcPr>
          <w:p w14:paraId="70AF9AD3" w14:textId="77777777" w:rsidR="00C57DDE" w:rsidRDefault="00D54CAF">
            <w:pPr>
              <w:pStyle w:val="TableContents"/>
              <w:contextualSpacing/>
              <w:rPr>
                <w:color w:val="000000"/>
                <w:sz w:val="20"/>
                <w:szCs w:val="20"/>
              </w:rPr>
            </w:pPr>
            <w:r>
              <w:rPr>
                <w:color w:val="000000"/>
                <w:sz w:val="20"/>
                <w:szCs w:val="20"/>
              </w:rPr>
              <w:t>Hope Woodlands (Bog)</w:t>
            </w:r>
          </w:p>
        </w:tc>
        <w:tc>
          <w:tcPr>
            <w:tcW w:w="1331" w:type="dxa"/>
            <w:vAlign w:val="center"/>
          </w:tcPr>
          <w:p w14:paraId="70AF9AD4" w14:textId="77777777" w:rsidR="00C57DDE" w:rsidRDefault="00D54CAF">
            <w:pPr>
              <w:pStyle w:val="TableContents"/>
              <w:contextualSpacing/>
              <w:rPr>
                <w:color w:val="000000"/>
                <w:sz w:val="20"/>
                <w:szCs w:val="20"/>
              </w:rPr>
            </w:pPr>
            <w:r>
              <w:rPr>
                <w:color w:val="000000"/>
                <w:sz w:val="20"/>
                <w:szCs w:val="20"/>
              </w:rPr>
              <w:t>53.44° N</w:t>
            </w:r>
          </w:p>
        </w:tc>
        <w:tc>
          <w:tcPr>
            <w:tcW w:w="1325" w:type="dxa"/>
            <w:vAlign w:val="center"/>
          </w:tcPr>
          <w:p w14:paraId="70AF9AD5" w14:textId="77777777" w:rsidR="00C57DDE" w:rsidRDefault="00D54CAF">
            <w:pPr>
              <w:pStyle w:val="TableContents"/>
              <w:contextualSpacing/>
              <w:rPr>
                <w:color w:val="000000"/>
                <w:sz w:val="20"/>
                <w:szCs w:val="20"/>
              </w:rPr>
            </w:pPr>
            <w:r>
              <w:rPr>
                <w:color w:val="000000"/>
                <w:sz w:val="20"/>
                <w:szCs w:val="20"/>
              </w:rPr>
              <w:t>1.84° W</w:t>
            </w:r>
          </w:p>
        </w:tc>
      </w:tr>
      <w:tr w:rsidR="00C57DDE" w14:paraId="70AF9ADB" w14:textId="77777777">
        <w:trPr>
          <w:trHeight w:val="311"/>
        </w:trPr>
        <w:tc>
          <w:tcPr>
            <w:tcW w:w="2239" w:type="dxa"/>
            <w:vAlign w:val="center"/>
          </w:tcPr>
          <w:p w14:paraId="70AF9AD7" w14:textId="77777777" w:rsidR="00C57DDE" w:rsidRDefault="00D54CAF">
            <w:pPr>
              <w:pStyle w:val="TableContents"/>
              <w:contextualSpacing/>
              <w:rPr>
                <w:color w:val="000000"/>
                <w:sz w:val="20"/>
                <w:szCs w:val="20"/>
              </w:rPr>
            </w:pPr>
            <w:proofErr w:type="spellStart"/>
            <w:r>
              <w:rPr>
                <w:color w:val="000000"/>
                <w:sz w:val="20"/>
                <w:szCs w:val="20"/>
              </w:rPr>
              <w:t>Hope_Heath</w:t>
            </w:r>
            <w:proofErr w:type="spellEnd"/>
          </w:p>
        </w:tc>
        <w:tc>
          <w:tcPr>
            <w:tcW w:w="4713" w:type="dxa"/>
            <w:vAlign w:val="center"/>
          </w:tcPr>
          <w:p w14:paraId="70AF9AD8" w14:textId="77777777" w:rsidR="00C57DDE" w:rsidRDefault="00D54CAF">
            <w:pPr>
              <w:pStyle w:val="TableContents"/>
              <w:contextualSpacing/>
              <w:rPr>
                <w:color w:val="000000"/>
                <w:sz w:val="20"/>
                <w:szCs w:val="20"/>
              </w:rPr>
            </w:pPr>
            <w:r>
              <w:rPr>
                <w:color w:val="000000"/>
                <w:sz w:val="20"/>
                <w:szCs w:val="20"/>
              </w:rPr>
              <w:t>Hope Woodlands (Heath)</w:t>
            </w:r>
          </w:p>
        </w:tc>
        <w:tc>
          <w:tcPr>
            <w:tcW w:w="1331" w:type="dxa"/>
            <w:vAlign w:val="center"/>
          </w:tcPr>
          <w:p w14:paraId="70AF9AD9" w14:textId="77777777" w:rsidR="00C57DDE" w:rsidRDefault="00D54CAF">
            <w:pPr>
              <w:pStyle w:val="TableContents"/>
              <w:contextualSpacing/>
              <w:rPr>
                <w:color w:val="000000"/>
                <w:sz w:val="20"/>
                <w:szCs w:val="20"/>
              </w:rPr>
            </w:pPr>
            <w:r>
              <w:rPr>
                <w:color w:val="000000"/>
                <w:sz w:val="20"/>
                <w:szCs w:val="20"/>
              </w:rPr>
              <w:t>53.42° N</w:t>
            </w:r>
          </w:p>
        </w:tc>
        <w:tc>
          <w:tcPr>
            <w:tcW w:w="1325" w:type="dxa"/>
            <w:vAlign w:val="center"/>
          </w:tcPr>
          <w:p w14:paraId="70AF9ADA" w14:textId="77777777" w:rsidR="00C57DDE" w:rsidRDefault="00D54CAF">
            <w:pPr>
              <w:pStyle w:val="TableContents"/>
              <w:contextualSpacing/>
              <w:rPr>
                <w:color w:val="000000"/>
                <w:sz w:val="20"/>
                <w:szCs w:val="20"/>
              </w:rPr>
            </w:pPr>
            <w:r>
              <w:rPr>
                <w:color w:val="000000"/>
                <w:sz w:val="20"/>
                <w:szCs w:val="20"/>
              </w:rPr>
              <w:t>1.85° W</w:t>
            </w:r>
          </w:p>
        </w:tc>
      </w:tr>
      <w:tr w:rsidR="00C57DDE" w14:paraId="70AF9AE0" w14:textId="77777777">
        <w:trPr>
          <w:trHeight w:val="311"/>
        </w:trPr>
        <w:tc>
          <w:tcPr>
            <w:tcW w:w="2239" w:type="dxa"/>
            <w:vAlign w:val="center"/>
          </w:tcPr>
          <w:p w14:paraId="70AF9ADC" w14:textId="77777777" w:rsidR="00C57DDE" w:rsidRDefault="00D54CAF">
            <w:pPr>
              <w:pStyle w:val="TableContents"/>
              <w:contextualSpacing/>
              <w:rPr>
                <w:color w:val="000000"/>
                <w:sz w:val="20"/>
                <w:szCs w:val="20"/>
              </w:rPr>
            </w:pPr>
            <w:proofErr w:type="spellStart"/>
            <w:r>
              <w:rPr>
                <w:color w:val="000000"/>
                <w:sz w:val="20"/>
                <w:szCs w:val="20"/>
              </w:rPr>
              <w:t>Hope_AG</w:t>
            </w:r>
            <w:proofErr w:type="spellEnd"/>
          </w:p>
        </w:tc>
        <w:tc>
          <w:tcPr>
            <w:tcW w:w="4713" w:type="dxa"/>
            <w:vAlign w:val="center"/>
          </w:tcPr>
          <w:p w14:paraId="70AF9ADD" w14:textId="77777777" w:rsidR="00C57DDE" w:rsidRDefault="00D54CAF">
            <w:pPr>
              <w:pStyle w:val="TableContents"/>
              <w:contextualSpacing/>
              <w:rPr>
                <w:color w:val="000000"/>
                <w:sz w:val="20"/>
                <w:szCs w:val="20"/>
              </w:rPr>
            </w:pPr>
            <w:r>
              <w:rPr>
                <w:color w:val="000000"/>
                <w:sz w:val="20"/>
                <w:szCs w:val="20"/>
              </w:rPr>
              <w:t>Hope Woodlands (Acid Grassland)</w:t>
            </w:r>
          </w:p>
        </w:tc>
        <w:tc>
          <w:tcPr>
            <w:tcW w:w="1331" w:type="dxa"/>
            <w:vAlign w:val="center"/>
          </w:tcPr>
          <w:p w14:paraId="70AF9ADE" w14:textId="77777777" w:rsidR="00C57DDE" w:rsidRDefault="00D54CAF">
            <w:pPr>
              <w:pStyle w:val="TableContents"/>
              <w:contextualSpacing/>
              <w:rPr>
                <w:color w:val="000000"/>
                <w:sz w:val="20"/>
                <w:szCs w:val="20"/>
              </w:rPr>
            </w:pPr>
            <w:r>
              <w:rPr>
                <w:color w:val="000000"/>
                <w:sz w:val="20"/>
                <w:szCs w:val="20"/>
              </w:rPr>
              <w:t>53.41° N</w:t>
            </w:r>
          </w:p>
        </w:tc>
        <w:tc>
          <w:tcPr>
            <w:tcW w:w="1325" w:type="dxa"/>
            <w:vAlign w:val="center"/>
          </w:tcPr>
          <w:p w14:paraId="70AF9ADF" w14:textId="77777777" w:rsidR="00C57DDE" w:rsidRDefault="00D54CAF">
            <w:pPr>
              <w:pStyle w:val="TableContents"/>
              <w:contextualSpacing/>
              <w:rPr>
                <w:color w:val="000000"/>
                <w:sz w:val="20"/>
                <w:szCs w:val="20"/>
              </w:rPr>
            </w:pPr>
            <w:r>
              <w:rPr>
                <w:color w:val="000000"/>
                <w:sz w:val="20"/>
                <w:szCs w:val="20"/>
              </w:rPr>
              <w:t>1.85° W</w:t>
            </w:r>
          </w:p>
        </w:tc>
      </w:tr>
      <w:tr w:rsidR="00C57DDE" w14:paraId="70AF9AE5" w14:textId="77777777">
        <w:trPr>
          <w:trHeight w:val="311"/>
        </w:trPr>
        <w:tc>
          <w:tcPr>
            <w:tcW w:w="2239" w:type="dxa"/>
            <w:vAlign w:val="center"/>
          </w:tcPr>
          <w:p w14:paraId="70AF9AE1" w14:textId="77777777" w:rsidR="00C57DDE" w:rsidRDefault="00D54CAF">
            <w:pPr>
              <w:pStyle w:val="TableContents"/>
              <w:contextualSpacing/>
              <w:rPr>
                <w:color w:val="000000"/>
                <w:sz w:val="20"/>
                <w:szCs w:val="20"/>
              </w:rPr>
            </w:pPr>
            <w:proofErr w:type="spellStart"/>
            <w:r>
              <w:rPr>
                <w:color w:val="000000"/>
                <w:sz w:val="20"/>
                <w:szCs w:val="20"/>
              </w:rPr>
              <w:t>STANTA_Heath</w:t>
            </w:r>
            <w:proofErr w:type="spellEnd"/>
          </w:p>
        </w:tc>
        <w:tc>
          <w:tcPr>
            <w:tcW w:w="4713" w:type="dxa"/>
            <w:vAlign w:val="center"/>
          </w:tcPr>
          <w:p w14:paraId="70AF9AE2" w14:textId="77777777" w:rsidR="00C57DDE" w:rsidRDefault="00D54CAF">
            <w:pPr>
              <w:pStyle w:val="TableContents"/>
              <w:contextualSpacing/>
              <w:rPr>
                <w:color w:val="000000"/>
                <w:sz w:val="20"/>
                <w:szCs w:val="20"/>
              </w:rPr>
            </w:pPr>
            <w:r>
              <w:rPr>
                <w:color w:val="000000"/>
                <w:sz w:val="20"/>
                <w:szCs w:val="20"/>
              </w:rPr>
              <w:t>Stanford Training Area (Heath)</w:t>
            </w:r>
          </w:p>
        </w:tc>
        <w:tc>
          <w:tcPr>
            <w:tcW w:w="1331" w:type="dxa"/>
            <w:vAlign w:val="center"/>
          </w:tcPr>
          <w:p w14:paraId="70AF9AE3" w14:textId="77777777" w:rsidR="00C57DDE" w:rsidRDefault="00D54CAF">
            <w:pPr>
              <w:pStyle w:val="TableContents"/>
              <w:contextualSpacing/>
              <w:rPr>
                <w:color w:val="000000"/>
                <w:sz w:val="20"/>
                <w:szCs w:val="20"/>
              </w:rPr>
            </w:pPr>
            <w:r>
              <w:rPr>
                <w:color w:val="000000"/>
                <w:sz w:val="20"/>
                <w:szCs w:val="20"/>
              </w:rPr>
              <w:t>52.54° N</w:t>
            </w:r>
          </w:p>
        </w:tc>
        <w:tc>
          <w:tcPr>
            <w:tcW w:w="1325" w:type="dxa"/>
            <w:vAlign w:val="center"/>
          </w:tcPr>
          <w:p w14:paraId="70AF9AE4" w14:textId="77777777" w:rsidR="00C57DDE" w:rsidRDefault="00D54CAF">
            <w:pPr>
              <w:pStyle w:val="TableContents"/>
              <w:contextualSpacing/>
              <w:rPr>
                <w:color w:val="000000"/>
                <w:sz w:val="20"/>
                <w:szCs w:val="20"/>
              </w:rPr>
            </w:pPr>
            <w:r>
              <w:rPr>
                <w:color w:val="000000"/>
                <w:sz w:val="20"/>
                <w:szCs w:val="20"/>
              </w:rPr>
              <w:t>0.76° E</w:t>
            </w:r>
          </w:p>
        </w:tc>
      </w:tr>
      <w:tr w:rsidR="00C57DDE" w14:paraId="70AF9AEA" w14:textId="77777777">
        <w:trPr>
          <w:trHeight w:val="311"/>
        </w:trPr>
        <w:tc>
          <w:tcPr>
            <w:tcW w:w="2239" w:type="dxa"/>
            <w:vAlign w:val="center"/>
          </w:tcPr>
          <w:p w14:paraId="70AF9AE6" w14:textId="77777777" w:rsidR="00C57DDE" w:rsidRDefault="00D54CAF">
            <w:pPr>
              <w:pStyle w:val="TableContents"/>
              <w:contextualSpacing/>
              <w:rPr>
                <w:color w:val="000000"/>
                <w:sz w:val="20"/>
                <w:szCs w:val="20"/>
              </w:rPr>
            </w:pPr>
            <w:r>
              <w:rPr>
                <w:color w:val="000000"/>
                <w:sz w:val="20"/>
                <w:szCs w:val="20"/>
              </w:rPr>
              <w:t>STANTA_AG</w:t>
            </w:r>
          </w:p>
        </w:tc>
        <w:tc>
          <w:tcPr>
            <w:tcW w:w="4713" w:type="dxa"/>
            <w:vAlign w:val="center"/>
          </w:tcPr>
          <w:p w14:paraId="70AF9AE7" w14:textId="77777777" w:rsidR="00C57DDE" w:rsidRDefault="00D54CAF">
            <w:pPr>
              <w:pStyle w:val="TableContents"/>
              <w:contextualSpacing/>
              <w:rPr>
                <w:color w:val="000000"/>
                <w:sz w:val="20"/>
                <w:szCs w:val="20"/>
              </w:rPr>
            </w:pPr>
            <w:r>
              <w:rPr>
                <w:color w:val="000000"/>
                <w:sz w:val="20"/>
                <w:szCs w:val="20"/>
              </w:rPr>
              <w:t>Stanford Training Area (Acid Grassland)</w:t>
            </w:r>
          </w:p>
        </w:tc>
        <w:tc>
          <w:tcPr>
            <w:tcW w:w="1331" w:type="dxa"/>
            <w:vAlign w:val="center"/>
          </w:tcPr>
          <w:p w14:paraId="70AF9AE8" w14:textId="77777777" w:rsidR="00C57DDE" w:rsidRDefault="00D54CAF">
            <w:pPr>
              <w:pStyle w:val="TableContents"/>
              <w:contextualSpacing/>
              <w:rPr>
                <w:color w:val="000000"/>
                <w:sz w:val="20"/>
                <w:szCs w:val="20"/>
              </w:rPr>
            </w:pPr>
            <w:r>
              <w:rPr>
                <w:color w:val="000000"/>
                <w:sz w:val="20"/>
                <w:szCs w:val="20"/>
              </w:rPr>
              <w:t>52.51° N</w:t>
            </w:r>
          </w:p>
        </w:tc>
        <w:tc>
          <w:tcPr>
            <w:tcW w:w="1325" w:type="dxa"/>
            <w:vAlign w:val="center"/>
          </w:tcPr>
          <w:p w14:paraId="70AF9AE9" w14:textId="77777777" w:rsidR="00C57DDE" w:rsidRDefault="00D54CAF">
            <w:pPr>
              <w:pStyle w:val="TableContents"/>
              <w:contextualSpacing/>
              <w:rPr>
                <w:color w:val="000000"/>
                <w:sz w:val="20"/>
                <w:szCs w:val="20"/>
              </w:rPr>
            </w:pPr>
            <w:r>
              <w:rPr>
                <w:color w:val="000000"/>
                <w:sz w:val="20"/>
                <w:szCs w:val="20"/>
              </w:rPr>
              <w:t>0.74° E</w:t>
            </w:r>
          </w:p>
        </w:tc>
      </w:tr>
      <w:tr w:rsidR="00C57DDE" w14:paraId="70AF9AEF" w14:textId="77777777">
        <w:trPr>
          <w:trHeight w:val="311"/>
        </w:trPr>
        <w:tc>
          <w:tcPr>
            <w:tcW w:w="2239" w:type="dxa"/>
            <w:vAlign w:val="center"/>
          </w:tcPr>
          <w:p w14:paraId="70AF9AEB" w14:textId="77777777" w:rsidR="00C57DDE" w:rsidRDefault="00D54CAF">
            <w:pPr>
              <w:pStyle w:val="TableContents"/>
              <w:contextualSpacing/>
              <w:rPr>
                <w:color w:val="000000"/>
                <w:sz w:val="20"/>
                <w:szCs w:val="20"/>
              </w:rPr>
            </w:pPr>
            <w:r>
              <w:rPr>
                <w:color w:val="000000"/>
                <w:sz w:val="20"/>
                <w:szCs w:val="20"/>
              </w:rPr>
              <w:t>Thetford</w:t>
            </w:r>
          </w:p>
        </w:tc>
        <w:tc>
          <w:tcPr>
            <w:tcW w:w="4713" w:type="dxa"/>
            <w:vAlign w:val="center"/>
          </w:tcPr>
          <w:p w14:paraId="70AF9AEC" w14:textId="77777777" w:rsidR="00C57DDE" w:rsidRDefault="00D54CAF">
            <w:pPr>
              <w:pStyle w:val="TableContents"/>
              <w:contextualSpacing/>
              <w:rPr>
                <w:color w:val="000000"/>
                <w:sz w:val="20"/>
                <w:szCs w:val="20"/>
              </w:rPr>
            </w:pPr>
            <w:r>
              <w:rPr>
                <w:color w:val="000000"/>
                <w:sz w:val="20"/>
                <w:szCs w:val="20"/>
              </w:rPr>
              <w:t>Thetford Forest</w:t>
            </w:r>
          </w:p>
        </w:tc>
        <w:tc>
          <w:tcPr>
            <w:tcW w:w="1331" w:type="dxa"/>
            <w:vAlign w:val="center"/>
          </w:tcPr>
          <w:p w14:paraId="70AF9AED" w14:textId="77777777" w:rsidR="00C57DDE" w:rsidRDefault="00D54CAF">
            <w:pPr>
              <w:pStyle w:val="TableContents"/>
              <w:contextualSpacing/>
              <w:rPr>
                <w:color w:val="000000"/>
                <w:sz w:val="20"/>
                <w:szCs w:val="20"/>
              </w:rPr>
            </w:pPr>
            <w:r>
              <w:rPr>
                <w:color w:val="000000"/>
                <w:sz w:val="20"/>
                <w:szCs w:val="20"/>
              </w:rPr>
              <w:t>52.45° N</w:t>
            </w:r>
          </w:p>
        </w:tc>
        <w:tc>
          <w:tcPr>
            <w:tcW w:w="1325" w:type="dxa"/>
            <w:vAlign w:val="center"/>
          </w:tcPr>
          <w:p w14:paraId="70AF9AEE" w14:textId="77777777" w:rsidR="00C57DDE" w:rsidRDefault="00D54CAF">
            <w:pPr>
              <w:pStyle w:val="TableContents"/>
              <w:contextualSpacing/>
              <w:rPr>
                <w:color w:val="000000"/>
                <w:sz w:val="20"/>
                <w:szCs w:val="20"/>
              </w:rPr>
            </w:pPr>
            <w:r>
              <w:rPr>
                <w:color w:val="000000"/>
                <w:sz w:val="20"/>
                <w:szCs w:val="20"/>
              </w:rPr>
              <w:t>0.66° E</w:t>
            </w:r>
          </w:p>
        </w:tc>
      </w:tr>
      <w:tr w:rsidR="00C57DDE" w14:paraId="70AF9AF4" w14:textId="77777777">
        <w:trPr>
          <w:trHeight w:val="311"/>
        </w:trPr>
        <w:tc>
          <w:tcPr>
            <w:tcW w:w="2239" w:type="dxa"/>
            <w:vAlign w:val="center"/>
          </w:tcPr>
          <w:p w14:paraId="70AF9AF0" w14:textId="77777777" w:rsidR="00C57DDE" w:rsidRDefault="00D54CAF">
            <w:pPr>
              <w:pStyle w:val="TableContents"/>
              <w:contextualSpacing/>
              <w:rPr>
                <w:color w:val="000000"/>
                <w:sz w:val="20"/>
                <w:szCs w:val="20"/>
              </w:rPr>
            </w:pPr>
            <w:r>
              <w:rPr>
                <w:color w:val="000000"/>
                <w:sz w:val="20"/>
                <w:szCs w:val="20"/>
              </w:rPr>
              <w:t>Talybont</w:t>
            </w:r>
          </w:p>
        </w:tc>
        <w:tc>
          <w:tcPr>
            <w:tcW w:w="4713" w:type="dxa"/>
            <w:vAlign w:val="center"/>
          </w:tcPr>
          <w:p w14:paraId="70AF9AF1" w14:textId="77777777" w:rsidR="00C57DDE" w:rsidRDefault="00D54CAF">
            <w:pPr>
              <w:pStyle w:val="TableContents"/>
              <w:contextualSpacing/>
              <w:rPr>
                <w:color w:val="000000"/>
                <w:sz w:val="20"/>
                <w:szCs w:val="20"/>
              </w:rPr>
            </w:pPr>
            <w:r>
              <w:rPr>
                <w:color w:val="000000"/>
                <w:sz w:val="20"/>
                <w:szCs w:val="20"/>
              </w:rPr>
              <w:t>Talybont Forest</w:t>
            </w:r>
          </w:p>
        </w:tc>
        <w:tc>
          <w:tcPr>
            <w:tcW w:w="1331" w:type="dxa"/>
            <w:vAlign w:val="center"/>
          </w:tcPr>
          <w:p w14:paraId="70AF9AF2" w14:textId="77777777" w:rsidR="00C57DDE" w:rsidRDefault="00D54CAF">
            <w:pPr>
              <w:pStyle w:val="TableContents"/>
              <w:contextualSpacing/>
              <w:rPr>
                <w:color w:val="000000"/>
                <w:sz w:val="20"/>
                <w:szCs w:val="20"/>
              </w:rPr>
            </w:pPr>
            <w:r>
              <w:rPr>
                <w:color w:val="000000"/>
                <w:sz w:val="20"/>
                <w:szCs w:val="20"/>
              </w:rPr>
              <w:t>51.89° N</w:t>
            </w:r>
          </w:p>
        </w:tc>
        <w:tc>
          <w:tcPr>
            <w:tcW w:w="1325" w:type="dxa"/>
            <w:vAlign w:val="center"/>
          </w:tcPr>
          <w:p w14:paraId="70AF9AF3" w14:textId="77777777" w:rsidR="00C57DDE" w:rsidRDefault="00D54CAF">
            <w:pPr>
              <w:pStyle w:val="TableContents"/>
              <w:contextualSpacing/>
              <w:rPr>
                <w:color w:val="000000"/>
                <w:sz w:val="20"/>
                <w:szCs w:val="20"/>
              </w:rPr>
            </w:pPr>
            <w:r>
              <w:rPr>
                <w:color w:val="000000"/>
                <w:sz w:val="20"/>
                <w:szCs w:val="20"/>
              </w:rPr>
              <w:t>3.32° W</w:t>
            </w:r>
          </w:p>
        </w:tc>
      </w:tr>
      <w:tr w:rsidR="00C57DDE" w14:paraId="70AF9AF9" w14:textId="77777777">
        <w:trPr>
          <w:trHeight w:val="311"/>
        </w:trPr>
        <w:tc>
          <w:tcPr>
            <w:tcW w:w="2239" w:type="dxa"/>
            <w:vAlign w:val="center"/>
          </w:tcPr>
          <w:p w14:paraId="70AF9AF5" w14:textId="77777777" w:rsidR="00C57DDE" w:rsidRDefault="00D54CAF">
            <w:pPr>
              <w:pStyle w:val="TableContents"/>
              <w:contextualSpacing/>
              <w:rPr>
                <w:color w:val="000000"/>
                <w:sz w:val="20"/>
                <w:szCs w:val="20"/>
              </w:rPr>
            </w:pPr>
            <w:proofErr w:type="spellStart"/>
            <w:r>
              <w:rPr>
                <w:color w:val="000000"/>
                <w:sz w:val="20"/>
                <w:szCs w:val="20"/>
              </w:rPr>
              <w:t>Holnicote_AG</w:t>
            </w:r>
            <w:proofErr w:type="spellEnd"/>
          </w:p>
        </w:tc>
        <w:tc>
          <w:tcPr>
            <w:tcW w:w="4713" w:type="dxa"/>
            <w:vAlign w:val="center"/>
          </w:tcPr>
          <w:p w14:paraId="70AF9AF6" w14:textId="77777777" w:rsidR="00C57DDE" w:rsidRDefault="00D54CAF">
            <w:pPr>
              <w:pStyle w:val="TableContents"/>
              <w:contextualSpacing/>
              <w:rPr>
                <w:color w:val="000000"/>
                <w:sz w:val="20"/>
                <w:szCs w:val="20"/>
              </w:rPr>
            </w:pPr>
            <w:proofErr w:type="spellStart"/>
            <w:r>
              <w:rPr>
                <w:color w:val="000000"/>
                <w:sz w:val="20"/>
                <w:szCs w:val="20"/>
              </w:rPr>
              <w:t>Holnicote</w:t>
            </w:r>
            <w:proofErr w:type="spellEnd"/>
            <w:r>
              <w:rPr>
                <w:color w:val="000000"/>
                <w:sz w:val="20"/>
                <w:szCs w:val="20"/>
              </w:rPr>
              <w:t xml:space="preserve"> (Acid Grassland)</w:t>
            </w:r>
          </w:p>
        </w:tc>
        <w:tc>
          <w:tcPr>
            <w:tcW w:w="1331" w:type="dxa"/>
            <w:vAlign w:val="center"/>
          </w:tcPr>
          <w:p w14:paraId="70AF9AF7" w14:textId="77777777" w:rsidR="00C57DDE" w:rsidRDefault="00D54CAF">
            <w:pPr>
              <w:pStyle w:val="TableContents"/>
              <w:contextualSpacing/>
              <w:rPr>
                <w:color w:val="000000"/>
                <w:sz w:val="20"/>
                <w:szCs w:val="20"/>
              </w:rPr>
            </w:pPr>
            <w:r>
              <w:rPr>
                <w:color w:val="000000"/>
                <w:sz w:val="20"/>
                <w:szCs w:val="20"/>
              </w:rPr>
              <w:t>51.18° N</w:t>
            </w:r>
          </w:p>
        </w:tc>
        <w:tc>
          <w:tcPr>
            <w:tcW w:w="1325" w:type="dxa"/>
            <w:vAlign w:val="center"/>
          </w:tcPr>
          <w:p w14:paraId="70AF9AF8" w14:textId="77777777" w:rsidR="00C57DDE" w:rsidRDefault="00D54CAF">
            <w:pPr>
              <w:pStyle w:val="TableContents"/>
              <w:contextualSpacing/>
              <w:rPr>
                <w:color w:val="000000"/>
                <w:sz w:val="20"/>
                <w:szCs w:val="20"/>
              </w:rPr>
            </w:pPr>
            <w:r>
              <w:rPr>
                <w:color w:val="000000"/>
                <w:sz w:val="20"/>
                <w:szCs w:val="20"/>
              </w:rPr>
              <w:t>3.60° W</w:t>
            </w:r>
          </w:p>
        </w:tc>
      </w:tr>
      <w:tr w:rsidR="00C57DDE" w14:paraId="70AF9AFE" w14:textId="77777777">
        <w:trPr>
          <w:trHeight w:val="311"/>
        </w:trPr>
        <w:tc>
          <w:tcPr>
            <w:tcW w:w="2239" w:type="dxa"/>
            <w:vAlign w:val="center"/>
          </w:tcPr>
          <w:p w14:paraId="70AF9AFA" w14:textId="77777777" w:rsidR="00C57DDE" w:rsidRDefault="00D54CAF">
            <w:pPr>
              <w:pStyle w:val="TableContents"/>
              <w:contextualSpacing/>
              <w:rPr>
                <w:color w:val="000000"/>
                <w:sz w:val="20"/>
                <w:szCs w:val="20"/>
              </w:rPr>
            </w:pPr>
            <w:proofErr w:type="spellStart"/>
            <w:r>
              <w:rPr>
                <w:color w:val="000000"/>
                <w:sz w:val="20"/>
                <w:szCs w:val="20"/>
              </w:rPr>
              <w:t>Holnicote_Heath</w:t>
            </w:r>
            <w:proofErr w:type="spellEnd"/>
          </w:p>
        </w:tc>
        <w:tc>
          <w:tcPr>
            <w:tcW w:w="4713" w:type="dxa"/>
            <w:vAlign w:val="center"/>
          </w:tcPr>
          <w:p w14:paraId="70AF9AFB" w14:textId="77777777" w:rsidR="00C57DDE" w:rsidRDefault="00D54CAF">
            <w:pPr>
              <w:pStyle w:val="TableContents"/>
              <w:contextualSpacing/>
              <w:rPr>
                <w:color w:val="000000"/>
                <w:sz w:val="20"/>
                <w:szCs w:val="20"/>
              </w:rPr>
            </w:pPr>
            <w:proofErr w:type="spellStart"/>
            <w:r>
              <w:rPr>
                <w:color w:val="000000"/>
                <w:sz w:val="20"/>
                <w:szCs w:val="20"/>
              </w:rPr>
              <w:t>Holnicote</w:t>
            </w:r>
            <w:proofErr w:type="spellEnd"/>
            <w:r>
              <w:rPr>
                <w:color w:val="000000"/>
                <w:sz w:val="20"/>
                <w:szCs w:val="20"/>
              </w:rPr>
              <w:t xml:space="preserve"> (Heath)</w:t>
            </w:r>
          </w:p>
        </w:tc>
        <w:tc>
          <w:tcPr>
            <w:tcW w:w="1331" w:type="dxa"/>
            <w:vAlign w:val="center"/>
          </w:tcPr>
          <w:p w14:paraId="70AF9AFC" w14:textId="77777777" w:rsidR="00C57DDE" w:rsidRDefault="00D54CAF">
            <w:pPr>
              <w:pStyle w:val="TableContents"/>
              <w:contextualSpacing/>
              <w:rPr>
                <w:color w:val="000000"/>
                <w:sz w:val="20"/>
                <w:szCs w:val="20"/>
              </w:rPr>
            </w:pPr>
            <w:r>
              <w:rPr>
                <w:color w:val="000000"/>
                <w:sz w:val="20"/>
                <w:szCs w:val="20"/>
              </w:rPr>
              <w:t>51.17° N</w:t>
            </w:r>
          </w:p>
        </w:tc>
        <w:tc>
          <w:tcPr>
            <w:tcW w:w="1325" w:type="dxa"/>
            <w:vAlign w:val="center"/>
          </w:tcPr>
          <w:p w14:paraId="70AF9AFD" w14:textId="77777777" w:rsidR="00C57DDE" w:rsidRDefault="00D54CAF">
            <w:pPr>
              <w:pStyle w:val="TableContents"/>
              <w:contextualSpacing/>
              <w:rPr>
                <w:color w:val="000000"/>
                <w:sz w:val="20"/>
                <w:szCs w:val="20"/>
              </w:rPr>
            </w:pPr>
            <w:r>
              <w:rPr>
                <w:color w:val="000000"/>
                <w:sz w:val="20"/>
                <w:szCs w:val="20"/>
              </w:rPr>
              <w:t>3.61° W</w:t>
            </w:r>
          </w:p>
        </w:tc>
      </w:tr>
      <w:tr w:rsidR="00C57DDE" w14:paraId="70AF9B03" w14:textId="77777777">
        <w:trPr>
          <w:trHeight w:val="311"/>
        </w:trPr>
        <w:tc>
          <w:tcPr>
            <w:tcW w:w="2239" w:type="dxa"/>
            <w:vAlign w:val="center"/>
          </w:tcPr>
          <w:p w14:paraId="70AF9AFF" w14:textId="77777777" w:rsidR="00C57DDE" w:rsidRDefault="00D54CAF">
            <w:pPr>
              <w:pStyle w:val="TableContents"/>
              <w:contextualSpacing/>
              <w:rPr>
                <w:color w:val="000000"/>
                <w:sz w:val="20"/>
                <w:szCs w:val="20"/>
              </w:rPr>
            </w:pPr>
            <w:proofErr w:type="spellStart"/>
            <w:r>
              <w:rPr>
                <w:color w:val="000000"/>
                <w:sz w:val="20"/>
                <w:szCs w:val="20"/>
              </w:rPr>
              <w:t>Alice_Holt</w:t>
            </w:r>
            <w:proofErr w:type="spellEnd"/>
          </w:p>
        </w:tc>
        <w:tc>
          <w:tcPr>
            <w:tcW w:w="4713" w:type="dxa"/>
            <w:vAlign w:val="center"/>
          </w:tcPr>
          <w:p w14:paraId="70AF9B00" w14:textId="77777777" w:rsidR="00C57DDE" w:rsidRDefault="00D54CAF">
            <w:pPr>
              <w:pStyle w:val="TableContents"/>
              <w:contextualSpacing/>
              <w:rPr>
                <w:color w:val="000000"/>
                <w:sz w:val="20"/>
                <w:szCs w:val="20"/>
              </w:rPr>
            </w:pPr>
            <w:r>
              <w:rPr>
                <w:color w:val="000000"/>
                <w:sz w:val="20"/>
                <w:szCs w:val="20"/>
              </w:rPr>
              <w:t>Alice Holt Forest</w:t>
            </w:r>
          </w:p>
        </w:tc>
        <w:tc>
          <w:tcPr>
            <w:tcW w:w="1331" w:type="dxa"/>
            <w:vAlign w:val="center"/>
          </w:tcPr>
          <w:p w14:paraId="70AF9B01" w14:textId="77777777" w:rsidR="00C57DDE" w:rsidRDefault="00D54CAF">
            <w:pPr>
              <w:pStyle w:val="TableContents"/>
              <w:contextualSpacing/>
              <w:rPr>
                <w:color w:val="000000"/>
                <w:sz w:val="20"/>
                <w:szCs w:val="20"/>
              </w:rPr>
            </w:pPr>
            <w:r>
              <w:rPr>
                <w:color w:val="000000"/>
                <w:sz w:val="20"/>
                <w:szCs w:val="20"/>
              </w:rPr>
              <w:t>51.17° N</w:t>
            </w:r>
          </w:p>
        </w:tc>
        <w:tc>
          <w:tcPr>
            <w:tcW w:w="1325" w:type="dxa"/>
            <w:vAlign w:val="center"/>
          </w:tcPr>
          <w:p w14:paraId="70AF9B02" w14:textId="77777777" w:rsidR="00C57DDE" w:rsidRDefault="00D54CAF">
            <w:pPr>
              <w:pStyle w:val="TableContents"/>
              <w:contextualSpacing/>
              <w:rPr>
                <w:color w:val="000000"/>
                <w:sz w:val="20"/>
                <w:szCs w:val="20"/>
              </w:rPr>
            </w:pPr>
            <w:r>
              <w:rPr>
                <w:color w:val="000000"/>
                <w:sz w:val="20"/>
                <w:szCs w:val="20"/>
              </w:rPr>
              <w:t>0.84° W</w:t>
            </w:r>
          </w:p>
        </w:tc>
      </w:tr>
      <w:tr w:rsidR="00C57DDE" w14:paraId="70AF9B08" w14:textId="77777777">
        <w:trPr>
          <w:trHeight w:val="311"/>
        </w:trPr>
        <w:tc>
          <w:tcPr>
            <w:tcW w:w="2239" w:type="dxa"/>
            <w:vAlign w:val="center"/>
          </w:tcPr>
          <w:p w14:paraId="70AF9B04" w14:textId="77777777" w:rsidR="00C57DDE" w:rsidRDefault="00D54CAF">
            <w:pPr>
              <w:pStyle w:val="TableContents"/>
              <w:contextualSpacing/>
              <w:rPr>
                <w:color w:val="000000"/>
                <w:sz w:val="20"/>
                <w:szCs w:val="20"/>
              </w:rPr>
            </w:pPr>
            <w:proofErr w:type="spellStart"/>
            <w:r>
              <w:rPr>
                <w:color w:val="000000"/>
                <w:sz w:val="20"/>
                <w:szCs w:val="20"/>
              </w:rPr>
              <w:t>Thursley_Forest</w:t>
            </w:r>
            <w:proofErr w:type="spellEnd"/>
          </w:p>
        </w:tc>
        <w:tc>
          <w:tcPr>
            <w:tcW w:w="4713" w:type="dxa"/>
            <w:vAlign w:val="center"/>
          </w:tcPr>
          <w:p w14:paraId="70AF9B05" w14:textId="77777777" w:rsidR="00C57DDE" w:rsidRDefault="00D54CAF">
            <w:pPr>
              <w:pStyle w:val="TableContents"/>
              <w:contextualSpacing/>
              <w:rPr>
                <w:color w:val="000000"/>
                <w:sz w:val="20"/>
                <w:szCs w:val="20"/>
              </w:rPr>
            </w:pPr>
            <w:proofErr w:type="spellStart"/>
            <w:r>
              <w:rPr>
                <w:color w:val="000000"/>
                <w:sz w:val="20"/>
                <w:szCs w:val="20"/>
              </w:rPr>
              <w:t>Thursley</w:t>
            </w:r>
            <w:proofErr w:type="spellEnd"/>
            <w:r>
              <w:rPr>
                <w:color w:val="000000"/>
                <w:sz w:val="20"/>
                <w:szCs w:val="20"/>
              </w:rPr>
              <w:t xml:space="preserve"> Common (Forest)</w:t>
            </w:r>
          </w:p>
        </w:tc>
        <w:tc>
          <w:tcPr>
            <w:tcW w:w="1331" w:type="dxa"/>
            <w:vAlign w:val="center"/>
          </w:tcPr>
          <w:p w14:paraId="70AF9B06" w14:textId="77777777" w:rsidR="00C57DDE" w:rsidRDefault="00D54CAF">
            <w:pPr>
              <w:pStyle w:val="TableContents"/>
              <w:contextualSpacing/>
              <w:rPr>
                <w:color w:val="000000"/>
                <w:sz w:val="20"/>
                <w:szCs w:val="20"/>
              </w:rPr>
            </w:pPr>
            <w:r>
              <w:rPr>
                <w:color w:val="000000"/>
                <w:sz w:val="20"/>
                <w:szCs w:val="20"/>
              </w:rPr>
              <w:t>51.16° N</w:t>
            </w:r>
          </w:p>
        </w:tc>
        <w:tc>
          <w:tcPr>
            <w:tcW w:w="1325" w:type="dxa"/>
            <w:vAlign w:val="center"/>
          </w:tcPr>
          <w:p w14:paraId="70AF9B07" w14:textId="77777777" w:rsidR="00C57DDE" w:rsidRDefault="00D54CAF">
            <w:pPr>
              <w:pStyle w:val="TableContents"/>
              <w:contextualSpacing/>
              <w:rPr>
                <w:color w:val="000000"/>
                <w:sz w:val="20"/>
                <w:szCs w:val="20"/>
              </w:rPr>
            </w:pPr>
            <w:r>
              <w:rPr>
                <w:color w:val="000000"/>
                <w:sz w:val="20"/>
                <w:szCs w:val="20"/>
              </w:rPr>
              <w:t>0.72° W</w:t>
            </w:r>
          </w:p>
        </w:tc>
      </w:tr>
      <w:tr w:rsidR="00C57DDE" w14:paraId="70AF9B0D" w14:textId="77777777">
        <w:trPr>
          <w:trHeight w:val="311"/>
        </w:trPr>
        <w:tc>
          <w:tcPr>
            <w:tcW w:w="2239" w:type="dxa"/>
            <w:vAlign w:val="center"/>
          </w:tcPr>
          <w:p w14:paraId="70AF9B09" w14:textId="77777777" w:rsidR="00C57DDE" w:rsidRDefault="00D54CAF">
            <w:pPr>
              <w:pStyle w:val="TableContents"/>
              <w:contextualSpacing/>
              <w:rPr>
                <w:color w:val="000000"/>
                <w:sz w:val="20"/>
                <w:szCs w:val="20"/>
              </w:rPr>
            </w:pPr>
            <w:proofErr w:type="spellStart"/>
            <w:r>
              <w:rPr>
                <w:color w:val="000000"/>
                <w:sz w:val="20"/>
                <w:szCs w:val="20"/>
              </w:rPr>
              <w:t>Thursley_Heath</w:t>
            </w:r>
            <w:proofErr w:type="spellEnd"/>
          </w:p>
        </w:tc>
        <w:tc>
          <w:tcPr>
            <w:tcW w:w="4713" w:type="dxa"/>
            <w:vAlign w:val="center"/>
          </w:tcPr>
          <w:p w14:paraId="70AF9B0A" w14:textId="77777777" w:rsidR="00C57DDE" w:rsidRDefault="00D54CAF">
            <w:pPr>
              <w:pStyle w:val="TableContents"/>
              <w:contextualSpacing/>
              <w:rPr>
                <w:color w:val="000000"/>
                <w:sz w:val="20"/>
                <w:szCs w:val="20"/>
              </w:rPr>
            </w:pPr>
            <w:proofErr w:type="spellStart"/>
            <w:r>
              <w:rPr>
                <w:color w:val="000000"/>
                <w:sz w:val="20"/>
                <w:szCs w:val="20"/>
              </w:rPr>
              <w:t>Thursley</w:t>
            </w:r>
            <w:proofErr w:type="spellEnd"/>
            <w:r>
              <w:rPr>
                <w:color w:val="000000"/>
                <w:sz w:val="20"/>
                <w:szCs w:val="20"/>
              </w:rPr>
              <w:t xml:space="preserve"> Common (Heath)</w:t>
            </w:r>
          </w:p>
        </w:tc>
        <w:tc>
          <w:tcPr>
            <w:tcW w:w="1331" w:type="dxa"/>
            <w:vAlign w:val="center"/>
          </w:tcPr>
          <w:p w14:paraId="70AF9B0B" w14:textId="77777777" w:rsidR="00C57DDE" w:rsidRDefault="00D54CAF">
            <w:pPr>
              <w:pStyle w:val="TableContents"/>
              <w:contextualSpacing/>
              <w:rPr>
                <w:color w:val="000000"/>
                <w:sz w:val="20"/>
                <w:szCs w:val="20"/>
              </w:rPr>
            </w:pPr>
            <w:r>
              <w:rPr>
                <w:color w:val="000000"/>
                <w:sz w:val="20"/>
                <w:szCs w:val="20"/>
              </w:rPr>
              <w:t>51.16° N</w:t>
            </w:r>
          </w:p>
        </w:tc>
        <w:tc>
          <w:tcPr>
            <w:tcW w:w="1325" w:type="dxa"/>
            <w:vAlign w:val="center"/>
          </w:tcPr>
          <w:p w14:paraId="70AF9B0C" w14:textId="77777777" w:rsidR="00C57DDE" w:rsidRDefault="00D54CAF">
            <w:pPr>
              <w:pStyle w:val="TableContents"/>
              <w:contextualSpacing/>
              <w:rPr>
                <w:color w:val="000000"/>
                <w:sz w:val="20"/>
                <w:szCs w:val="20"/>
              </w:rPr>
            </w:pPr>
            <w:r>
              <w:rPr>
                <w:color w:val="000000"/>
                <w:sz w:val="20"/>
                <w:szCs w:val="20"/>
              </w:rPr>
              <w:t>0.71° W</w:t>
            </w:r>
          </w:p>
        </w:tc>
      </w:tr>
      <w:tr w:rsidR="00C57DDE" w14:paraId="70AF9B12" w14:textId="77777777">
        <w:trPr>
          <w:trHeight w:val="311"/>
        </w:trPr>
        <w:tc>
          <w:tcPr>
            <w:tcW w:w="2239" w:type="dxa"/>
            <w:vAlign w:val="center"/>
          </w:tcPr>
          <w:p w14:paraId="70AF9B0E" w14:textId="77777777" w:rsidR="00C57DDE" w:rsidRDefault="00D54CAF">
            <w:pPr>
              <w:pStyle w:val="TableContents"/>
              <w:contextualSpacing/>
              <w:rPr>
                <w:color w:val="000000"/>
                <w:sz w:val="20"/>
                <w:szCs w:val="20"/>
              </w:rPr>
            </w:pPr>
            <w:proofErr w:type="spellStart"/>
            <w:r>
              <w:rPr>
                <w:color w:val="000000"/>
                <w:sz w:val="20"/>
                <w:szCs w:val="20"/>
              </w:rPr>
              <w:t>Hardown</w:t>
            </w:r>
            <w:proofErr w:type="spellEnd"/>
          </w:p>
        </w:tc>
        <w:tc>
          <w:tcPr>
            <w:tcW w:w="4713" w:type="dxa"/>
            <w:vAlign w:val="center"/>
          </w:tcPr>
          <w:p w14:paraId="70AF9B0F" w14:textId="77777777" w:rsidR="00C57DDE" w:rsidRDefault="00D54CAF">
            <w:pPr>
              <w:pStyle w:val="TableContents"/>
              <w:contextualSpacing/>
              <w:rPr>
                <w:color w:val="000000"/>
                <w:sz w:val="20"/>
                <w:szCs w:val="20"/>
              </w:rPr>
            </w:pPr>
            <w:proofErr w:type="spellStart"/>
            <w:r>
              <w:rPr>
                <w:color w:val="000000"/>
                <w:sz w:val="20"/>
                <w:szCs w:val="20"/>
              </w:rPr>
              <w:t>Hardown</w:t>
            </w:r>
            <w:proofErr w:type="spellEnd"/>
            <w:r>
              <w:rPr>
                <w:color w:val="000000"/>
                <w:sz w:val="20"/>
                <w:szCs w:val="20"/>
              </w:rPr>
              <w:t xml:space="preserve"> Hill</w:t>
            </w:r>
          </w:p>
        </w:tc>
        <w:tc>
          <w:tcPr>
            <w:tcW w:w="1331" w:type="dxa"/>
            <w:vAlign w:val="center"/>
          </w:tcPr>
          <w:p w14:paraId="70AF9B10" w14:textId="77777777" w:rsidR="00C57DDE" w:rsidRDefault="00D54CAF">
            <w:pPr>
              <w:pStyle w:val="TableContents"/>
              <w:contextualSpacing/>
              <w:rPr>
                <w:color w:val="000000"/>
                <w:sz w:val="20"/>
                <w:szCs w:val="20"/>
              </w:rPr>
            </w:pPr>
            <w:r>
              <w:rPr>
                <w:color w:val="000000"/>
                <w:sz w:val="20"/>
                <w:szCs w:val="20"/>
              </w:rPr>
              <w:t>50.74° N</w:t>
            </w:r>
          </w:p>
        </w:tc>
        <w:tc>
          <w:tcPr>
            <w:tcW w:w="1325" w:type="dxa"/>
            <w:vAlign w:val="center"/>
          </w:tcPr>
          <w:p w14:paraId="70AF9B11" w14:textId="77777777" w:rsidR="00C57DDE" w:rsidRDefault="00D54CAF">
            <w:pPr>
              <w:pStyle w:val="TableContents"/>
              <w:contextualSpacing/>
              <w:rPr>
                <w:color w:val="000000"/>
                <w:sz w:val="20"/>
                <w:szCs w:val="20"/>
              </w:rPr>
            </w:pPr>
            <w:r>
              <w:rPr>
                <w:color w:val="000000"/>
                <w:sz w:val="20"/>
                <w:szCs w:val="20"/>
              </w:rPr>
              <w:t>2.84° W</w:t>
            </w:r>
          </w:p>
        </w:tc>
      </w:tr>
      <w:tr w:rsidR="00C57DDE" w14:paraId="70AF9B17" w14:textId="77777777">
        <w:trPr>
          <w:trHeight w:val="311"/>
        </w:trPr>
        <w:tc>
          <w:tcPr>
            <w:tcW w:w="2239" w:type="dxa"/>
            <w:vAlign w:val="center"/>
          </w:tcPr>
          <w:p w14:paraId="70AF9B13" w14:textId="77777777" w:rsidR="00C57DDE" w:rsidRDefault="00D54CAF">
            <w:pPr>
              <w:pStyle w:val="TableContents"/>
              <w:contextualSpacing/>
              <w:rPr>
                <w:color w:val="000000"/>
                <w:sz w:val="20"/>
                <w:szCs w:val="20"/>
              </w:rPr>
            </w:pPr>
            <w:r>
              <w:rPr>
                <w:color w:val="000000"/>
                <w:sz w:val="20"/>
                <w:szCs w:val="20"/>
              </w:rPr>
              <w:t>Duddle</w:t>
            </w:r>
          </w:p>
        </w:tc>
        <w:tc>
          <w:tcPr>
            <w:tcW w:w="4713" w:type="dxa"/>
            <w:vAlign w:val="center"/>
          </w:tcPr>
          <w:p w14:paraId="70AF9B14" w14:textId="77777777" w:rsidR="00C57DDE" w:rsidRDefault="00D54CAF">
            <w:pPr>
              <w:pStyle w:val="TableContents"/>
              <w:contextualSpacing/>
              <w:rPr>
                <w:color w:val="000000"/>
                <w:sz w:val="20"/>
                <w:szCs w:val="20"/>
              </w:rPr>
            </w:pPr>
            <w:r>
              <w:rPr>
                <w:color w:val="000000"/>
                <w:sz w:val="20"/>
                <w:szCs w:val="20"/>
              </w:rPr>
              <w:t>Duddle Heath</w:t>
            </w:r>
          </w:p>
        </w:tc>
        <w:tc>
          <w:tcPr>
            <w:tcW w:w="1331" w:type="dxa"/>
            <w:vAlign w:val="center"/>
          </w:tcPr>
          <w:p w14:paraId="70AF9B15" w14:textId="77777777" w:rsidR="00C57DDE" w:rsidRDefault="00D54CAF">
            <w:pPr>
              <w:pStyle w:val="TableContents"/>
              <w:contextualSpacing/>
              <w:rPr>
                <w:color w:val="000000"/>
                <w:sz w:val="20"/>
                <w:szCs w:val="20"/>
              </w:rPr>
            </w:pPr>
            <w:r>
              <w:rPr>
                <w:color w:val="000000"/>
                <w:sz w:val="20"/>
                <w:szCs w:val="20"/>
              </w:rPr>
              <w:t>50.73° N</w:t>
            </w:r>
          </w:p>
        </w:tc>
        <w:tc>
          <w:tcPr>
            <w:tcW w:w="1325" w:type="dxa"/>
            <w:vAlign w:val="center"/>
          </w:tcPr>
          <w:p w14:paraId="70AF9B16" w14:textId="77777777" w:rsidR="00C57DDE" w:rsidRDefault="00D54CAF">
            <w:pPr>
              <w:pStyle w:val="TableContents"/>
              <w:contextualSpacing/>
              <w:rPr>
                <w:color w:val="000000"/>
                <w:sz w:val="20"/>
                <w:szCs w:val="20"/>
              </w:rPr>
            </w:pPr>
            <w:r>
              <w:rPr>
                <w:color w:val="000000"/>
                <w:sz w:val="20"/>
                <w:szCs w:val="20"/>
              </w:rPr>
              <w:t>2.37° W</w:t>
            </w:r>
          </w:p>
        </w:tc>
      </w:tr>
      <w:tr w:rsidR="00C57DDE" w14:paraId="70AF9B1C" w14:textId="77777777">
        <w:trPr>
          <w:trHeight w:val="311"/>
        </w:trPr>
        <w:tc>
          <w:tcPr>
            <w:tcW w:w="2239" w:type="dxa"/>
            <w:vAlign w:val="center"/>
          </w:tcPr>
          <w:p w14:paraId="70AF9B18" w14:textId="77777777" w:rsidR="00C57DDE" w:rsidRDefault="00D54CAF">
            <w:pPr>
              <w:pStyle w:val="TableContents"/>
              <w:contextualSpacing/>
              <w:rPr>
                <w:color w:val="000000"/>
                <w:sz w:val="20"/>
                <w:szCs w:val="20"/>
              </w:rPr>
            </w:pPr>
            <w:r>
              <w:rPr>
                <w:color w:val="000000"/>
                <w:sz w:val="20"/>
                <w:szCs w:val="20"/>
              </w:rPr>
              <w:t>Woodbury</w:t>
            </w:r>
          </w:p>
        </w:tc>
        <w:tc>
          <w:tcPr>
            <w:tcW w:w="4713" w:type="dxa"/>
            <w:vAlign w:val="center"/>
          </w:tcPr>
          <w:p w14:paraId="70AF9B19" w14:textId="77777777" w:rsidR="00C57DDE" w:rsidRDefault="00D54CAF">
            <w:pPr>
              <w:pStyle w:val="TableContents"/>
              <w:contextualSpacing/>
              <w:rPr>
                <w:color w:val="000000"/>
                <w:sz w:val="20"/>
                <w:szCs w:val="20"/>
              </w:rPr>
            </w:pPr>
            <w:r>
              <w:rPr>
                <w:color w:val="000000"/>
                <w:sz w:val="20"/>
                <w:szCs w:val="20"/>
              </w:rPr>
              <w:t>Woodbury Common</w:t>
            </w:r>
          </w:p>
        </w:tc>
        <w:tc>
          <w:tcPr>
            <w:tcW w:w="1331" w:type="dxa"/>
            <w:vAlign w:val="center"/>
          </w:tcPr>
          <w:p w14:paraId="70AF9B1A" w14:textId="77777777" w:rsidR="00C57DDE" w:rsidRDefault="00D54CAF">
            <w:pPr>
              <w:pStyle w:val="TableContents"/>
              <w:contextualSpacing/>
              <w:rPr>
                <w:color w:val="000000"/>
                <w:sz w:val="20"/>
                <w:szCs w:val="20"/>
              </w:rPr>
            </w:pPr>
            <w:r>
              <w:rPr>
                <w:color w:val="000000"/>
                <w:sz w:val="20"/>
                <w:szCs w:val="20"/>
              </w:rPr>
              <w:t>50.68° N</w:t>
            </w:r>
          </w:p>
        </w:tc>
        <w:tc>
          <w:tcPr>
            <w:tcW w:w="1325" w:type="dxa"/>
            <w:vAlign w:val="center"/>
          </w:tcPr>
          <w:p w14:paraId="70AF9B1B" w14:textId="77777777" w:rsidR="00C57DDE" w:rsidRDefault="00D54CAF">
            <w:pPr>
              <w:pStyle w:val="TableContents"/>
              <w:contextualSpacing/>
              <w:rPr>
                <w:color w:val="000000"/>
                <w:sz w:val="20"/>
                <w:szCs w:val="20"/>
              </w:rPr>
            </w:pPr>
            <w:r>
              <w:rPr>
                <w:color w:val="000000"/>
                <w:sz w:val="20"/>
                <w:szCs w:val="20"/>
              </w:rPr>
              <w:t>3.36° W</w:t>
            </w:r>
          </w:p>
        </w:tc>
      </w:tr>
      <w:tr w:rsidR="00C57DDE" w14:paraId="70AF9B21" w14:textId="77777777">
        <w:trPr>
          <w:trHeight w:val="311"/>
        </w:trPr>
        <w:tc>
          <w:tcPr>
            <w:tcW w:w="2239" w:type="dxa"/>
            <w:vAlign w:val="center"/>
          </w:tcPr>
          <w:p w14:paraId="70AF9B1D" w14:textId="77777777" w:rsidR="00C57DDE" w:rsidRDefault="00D54CAF">
            <w:pPr>
              <w:pStyle w:val="TableContents"/>
              <w:contextualSpacing/>
              <w:rPr>
                <w:color w:val="000000"/>
                <w:sz w:val="20"/>
                <w:szCs w:val="20"/>
              </w:rPr>
            </w:pPr>
            <w:r>
              <w:rPr>
                <w:color w:val="000000"/>
                <w:sz w:val="20"/>
                <w:szCs w:val="20"/>
              </w:rPr>
              <w:t>Haldon</w:t>
            </w:r>
          </w:p>
        </w:tc>
        <w:tc>
          <w:tcPr>
            <w:tcW w:w="4713" w:type="dxa"/>
            <w:vAlign w:val="center"/>
          </w:tcPr>
          <w:p w14:paraId="70AF9B1E" w14:textId="77777777" w:rsidR="00C57DDE" w:rsidRDefault="00D54CAF">
            <w:pPr>
              <w:pStyle w:val="TableContents"/>
              <w:contextualSpacing/>
              <w:rPr>
                <w:color w:val="000000"/>
                <w:sz w:val="20"/>
                <w:szCs w:val="20"/>
              </w:rPr>
            </w:pPr>
            <w:r>
              <w:rPr>
                <w:color w:val="000000"/>
                <w:sz w:val="20"/>
                <w:szCs w:val="20"/>
              </w:rPr>
              <w:t xml:space="preserve">Haldon </w:t>
            </w:r>
            <w:r>
              <w:rPr>
                <w:color w:val="000000"/>
                <w:sz w:val="20"/>
                <w:szCs w:val="20"/>
              </w:rPr>
              <w:t>Forest Park</w:t>
            </w:r>
          </w:p>
        </w:tc>
        <w:tc>
          <w:tcPr>
            <w:tcW w:w="1331" w:type="dxa"/>
            <w:vAlign w:val="center"/>
          </w:tcPr>
          <w:p w14:paraId="70AF9B1F" w14:textId="77777777" w:rsidR="00C57DDE" w:rsidRDefault="00D54CAF">
            <w:pPr>
              <w:pStyle w:val="TableContents"/>
              <w:contextualSpacing/>
              <w:rPr>
                <w:color w:val="000000"/>
                <w:sz w:val="20"/>
                <w:szCs w:val="20"/>
              </w:rPr>
            </w:pPr>
            <w:r>
              <w:rPr>
                <w:color w:val="000000"/>
                <w:sz w:val="20"/>
                <w:szCs w:val="20"/>
              </w:rPr>
              <w:t>50.65° N</w:t>
            </w:r>
          </w:p>
        </w:tc>
        <w:tc>
          <w:tcPr>
            <w:tcW w:w="1325" w:type="dxa"/>
            <w:vAlign w:val="center"/>
          </w:tcPr>
          <w:p w14:paraId="70AF9B20" w14:textId="77777777" w:rsidR="00C57DDE" w:rsidRDefault="00D54CAF">
            <w:pPr>
              <w:pStyle w:val="TableContents"/>
              <w:contextualSpacing/>
              <w:rPr>
                <w:color w:val="000000"/>
                <w:sz w:val="20"/>
                <w:szCs w:val="20"/>
              </w:rPr>
            </w:pPr>
            <w:r>
              <w:rPr>
                <w:color w:val="000000"/>
                <w:sz w:val="20"/>
                <w:szCs w:val="20"/>
              </w:rPr>
              <w:t>3.58° W</w:t>
            </w:r>
          </w:p>
        </w:tc>
      </w:tr>
    </w:tbl>
    <w:p w14:paraId="70AF9B22" w14:textId="77777777" w:rsidR="00C57DDE" w:rsidRDefault="00C57DDE">
      <w:pPr>
        <w:contextualSpacing/>
        <w:rPr>
          <w:b/>
          <w:bCs/>
        </w:rPr>
      </w:pPr>
    </w:p>
    <w:p w14:paraId="70AF9B23" w14:textId="77777777" w:rsidR="00C57DDE" w:rsidRDefault="00D54CAF">
      <w:pPr>
        <w:contextualSpacing/>
        <w:rPr>
          <w:color w:val="000000"/>
        </w:rPr>
      </w:pPr>
      <w:r>
        <w:rPr>
          <w:color w:val="000000"/>
        </w:rPr>
        <w:t>Each sample was divided to provide two subsamples for flammability testing and one for moisture content measurement.  Moisture content was obtained by weighing subsamples (c. 20 g), then placing them in a drying cabinet at 40-50</w:t>
      </w:r>
      <w:r>
        <w:rPr>
          <w:rFonts w:ascii="Liberation Sans" w:hAnsi="Liberation Sans"/>
          <w:color w:val="000000"/>
        </w:rPr>
        <w:t>°</w:t>
      </w:r>
      <w:r>
        <w:rPr>
          <w:color w:val="000000"/>
        </w:rPr>
        <w:t xml:space="preserve"> C until they reached constant weight.  The flammability subsamples were analysed in an </w:t>
      </w:r>
      <w:proofErr w:type="spellStart"/>
      <w:r>
        <w:rPr>
          <w:color w:val="000000"/>
        </w:rPr>
        <w:t>iCone</w:t>
      </w:r>
      <w:proofErr w:type="spellEnd"/>
      <w:r>
        <w:rPr>
          <w:color w:val="000000"/>
        </w:rPr>
        <w:t xml:space="preserve"> plus cone calorimeter (Fire Testing Technology Ltd, East Grinstead, UK) following ASTM standard E1354 (ASTM International, 2016).  The weighed subsample is filled into a perforated steel cylinder of 375 cm</w:t>
      </w:r>
      <w:r>
        <w:rPr>
          <w:color w:val="000000"/>
          <w:vertAlign w:val="superscript"/>
        </w:rPr>
        <w:t>3</w:t>
      </w:r>
      <w:r>
        <w:rPr>
          <w:color w:val="000000"/>
        </w:rPr>
        <w:t xml:space="preserve">, and </w:t>
      </w:r>
      <w:proofErr w:type="gramStart"/>
      <w:r>
        <w:rPr>
          <w:color w:val="000000"/>
        </w:rPr>
        <w:t>placed  25</w:t>
      </w:r>
      <w:proofErr w:type="gramEnd"/>
      <w:r>
        <w:rPr>
          <w:color w:val="000000"/>
        </w:rPr>
        <w:t xml:space="preserve"> mm beneath the heating element, set to 750</w:t>
      </w:r>
      <w:r>
        <w:rPr>
          <w:rFonts w:ascii="Liberation Sans" w:hAnsi="Liberation Sans"/>
          <w:color w:val="000000"/>
        </w:rPr>
        <w:t>°</w:t>
      </w:r>
      <w:r>
        <w:rPr>
          <w:color w:val="000000"/>
        </w:rPr>
        <w:t xml:space="preserve"> C, to achieve a heat flux of 50 kW m</w:t>
      </w:r>
      <w:r>
        <w:rPr>
          <w:color w:val="000000"/>
          <w:vertAlign w:val="superscript"/>
        </w:rPr>
        <w:t>−</w:t>
      </w:r>
      <w:r>
        <w:rPr>
          <w:color w:val="000000"/>
          <w:vertAlign w:val="superscript"/>
        </w:rPr>
        <w:t>2</w:t>
      </w:r>
      <w:r>
        <w:rPr>
          <w:color w:val="000000"/>
        </w:rPr>
        <w:t xml:space="preserve"> at the surface of the sample.  The apparatus maintains an electric arc </w:t>
      </w:r>
      <w:r>
        <w:rPr>
          <w:color w:val="000000"/>
        </w:rPr>
        <w:lastRenderedPageBreak/>
        <w:t xml:space="preserve">15 mm above the surface to ignite the </w:t>
      </w:r>
      <w:proofErr w:type="spellStart"/>
      <w:r>
        <w:rPr>
          <w:color w:val="000000"/>
        </w:rPr>
        <w:t>pyrolysate</w:t>
      </w:r>
      <w:proofErr w:type="spellEnd"/>
      <w:r>
        <w:rPr>
          <w:color w:val="000000"/>
        </w:rPr>
        <w:t>.  Time to ignition (TTI) is recorded manually, and the sample remains in place until flaming ceases, and the test time is defined as ending 20 s after cessation of flaming.  Non-ignition after 300 s (240 s for lowland heaths) results in the test being discontinued, as the fuel is considered non-ignitable in any realistic scenario.   PHRR, THR and EHC are calculated automatically and recor</w:t>
      </w:r>
      <w:r>
        <w:rPr>
          <w:color w:val="000000"/>
        </w:rPr>
        <w:t>ded after the test is complete.</w:t>
      </w:r>
    </w:p>
    <w:p w14:paraId="70AF9B24" w14:textId="77777777" w:rsidR="00C57DDE" w:rsidRDefault="00C57DDE">
      <w:pPr>
        <w:contextualSpacing/>
        <w:rPr>
          <w:color w:val="000000"/>
        </w:rPr>
      </w:pPr>
    </w:p>
    <w:p w14:paraId="70AF9B25" w14:textId="77777777" w:rsidR="00C57DDE" w:rsidRDefault="00D54CAF">
      <w:pPr>
        <w:contextualSpacing/>
        <w:rPr>
          <w:color w:val="000000"/>
        </w:rPr>
      </w:pPr>
      <w:r>
        <w:rPr>
          <w:color w:val="000000"/>
        </w:rPr>
        <w:t>Detailed methods are given by Belcher et al. (2025) and Crawford et al. (2025).</w:t>
      </w:r>
    </w:p>
    <w:p w14:paraId="70AF9B26" w14:textId="77777777" w:rsidR="00C57DDE" w:rsidRDefault="00C57DDE">
      <w:pPr>
        <w:contextualSpacing/>
        <w:rPr>
          <w:color w:val="000000"/>
        </w:rPr>
      </w:pPr>
    </w:p>
    <w:p w14:paraId="70AF9B27" w14:textId="1599D2CE" w:rsidR="00C57DDE" w:rsidRDefault="00144B23">
      <w:pPr>
        <w:contextualSpacing/>
        <w:rPr>
          <w:b/>
          <w:bCs/>
          <w:color w:val="000000"/>
        </w:rPr>
      </w:pPr>
      <w:r w:rsidRPr="00144B23">
        <w:rPr>
          <w:b/>
          <w:bCs/>
          <w:color w:val="000000"/>
        </w:rPr>
        <w:t>Quality control</w:t>
      </w:r>
    </w:p>
    <w:p w14:paraId="43CBBF83" w14:textId="77777777" w:rsidR="00144B23" w:rsidRDefault="00144B23">
      <w:pPr>
        <w:contextualSpacing/>
        <w:rPr>
          <w:b/>
          <w:bCs/>
          <w:color w:val="000000"/>
        </w:rPr>
      </w:pPr>
    </w:p>
    <w:p w14:paraId="6DF1AD1C" w14:textId="17DCF129" w:rsidR="00144B23" w:rsidRPr="00144B23" w:rsidRDefault="00D54CAF">
      <w:pPr>
        <w:contextualSpacing/>
        <w:rPr>
          <w:color w:val="000000"/>
        </w:rPr>
      </w:pPr>
      <w:r w:rsidRPr="00D54CAF">
        <w:rPr>
          <w:color w:val="000000"/>
        </w:rPr>
        <w:t>The fuel type, species and status recorded in the field were confirmed at the lab prior to processing. Weather, fuel moisture and calorimetric data were screened for quality upon compilation of the data. Some weather data that had been recorded ambiguously (e.g. lacking units) were removed from the data set.</w:t>
      </w:r>
    </w:p>
    <w:p w14:paraId="28907665" w14:textId="77777777" w:rsidR="00144B23" w:rsidRDefault="00144B23">
      <w:pPr>
        <w:contextualSpacing/>
        <w:rPr>
          <w:color w:val="000000"/>
        </w:rPr>
      </w:pPr>
    </w:p>
    <w:p w14:paraId="3752248D" w14:textId="77777777" w:rsidR="00144B23" w:rsidRDefault="00144B23">
      <w:pPr>
        <w:contextualSpacing/>
        <w:rPr>
          <w:b/>
          <w:bCs/>
          <w:color w:val="000000"/>
        </w:rPr>
      </w:pPr>
    </w:p>
    <w:p w14:paraId="70AF9B28" w14:textId="183EABD1" w:rsidR="00C57DDE" w:rsidRDefault="00D54CAF">
      <w:pPr>
        <w:contextualSpacing/>
        <w:rPr>
          <w:b/>
          <w:bCs/>
          <w:color w:val="000000"/>
        </w:rPr>
      </w:pPr>
      <w:r>
        <w:rPr>
          <w:b/>
          <w:bCs/>
          <w:color w:val="000000"/>
        </w:rPr>
        <w:t>References</w:t>
      </w:r>
    </w:p>
    <w:p w14:paraId="70AF9B29" w14:textId="77777777" w:rsidR="00C57DDE" w:rsidRDefault="00C57DDE">
      <w:pPr>
        <w:contextualSpacing/>
        <w:rPr>
          <w:color w:val="000000"/>
        </w:rPr>
      </w:pPr>
    </w:p>
    <w:p w14:paraId="70AF9B2A" w14:textId="77777777" w:rsidR="00C57DDE" w:rsidRDefault="00D54CAF">
      <w:pPr>
        <w:contextualSpacing/>
        <w:rPr>
          <w:color w:val="000000"/>
        </w:rPr>
      </w:pPr>
      <w:r>
        <w:rPr>
          <w:color w:val="000000"/>
        </w:rPr>
        <w:t xml:space="preserve">ASTM International (2016) E1354: Standard Test Method for Heat and Visible Smoke Release Rates for Materials and Products </w:t>
      </w:r>
      <w:r>
        <w:rPr>
          <w:color w:val="000000"/>
        </w:rPr>
        <w:t>Using an Oxygen Consumption Calorimeter. ASTM International, West Conshohocken, PA.</w:t>
      </w:r>
    </w:p>
    <w:p w14:paraId="70AF9B2B" w14:textId="77777777" w:rsidR="00C57DDE" w:rsidRDefault="00C57DDE">
      <w:pPr>
        <w:contextualSpacing/>
        <w:rPr>
          <w:color w:val="000000"/>
        </w:rPr>
      </w:pPr>
    </w:p>
    <w:p w14:paraId="70AF9B2C" w14:textId="77777777" w:rsidR="00C57DDE" w:rsidRDefault="00D54CAF">
      <w:pPr>
        <w:contextualSpacing/>
        <w:rPr>
          <w:color w:val="000000"/>
        </w:rPr>
      </w:pPr>
      <w:r>
        <w:rPr>
          <w:color w:val="000000"/>
        </w:rPr>
        <w:t xml:space="preserve">Belcher CM, Vitali R, </w:t>
      </w:r>
      <w:proofErr w:type="spellStart"/>
      <w:r>
        <w:rPr>
          <w:color w:val="000000"/>
        </w:rPr>
        <w:t>Nikonovas</w:t>
      </w:r>
      <w:proofErr w:type="spellEnd"/>
      <w:r>
        <w:rPr>
          <w:color w:val="000000"/>
        </w:rPr>
        <w:t xml:space="preserve"> T, Little K, Elliott A, Baker SJ, Crawford AJ, Doerr SH, Kettridge N &amp; Clay GD (2025) A flammability phenology for dry mixed heaths and its implications for modelling fire behaviour. </w:t>
      </w:r>
      <w:r>
        <w:rPr>
          <w:i/>
          <w:iCs/>
          <w:color w:val="000000"/>
        </w:rPr>
        <w:t>International Journal of Wildland Fire</w:t>
      </w:r>
      <w:r>
        <w:rPr>
          <w:color w:val="000000"/>
        </w:rPr>
        <w:t xml:space="preserve"> 34: WF24123.</w:t>
      </w:r>
    </w:p>
    <w:p w14:paraId="70AF9B2D" w14:textId="77777777" w:rsidR="00C57DDE" w:rsidRDefault="00C57DDE">
      <w:pPr>
        <w:contextualSpacing/>
        <w:rPr>
          <w:color w:val="000000"/>
        </w:rPr>
      </w:pPr>
    </w:p>
    <w:p w14:paraId="70AF9B2E" w14:textId="77777777" w:rsidR="00C57DDE" w:rsidRDefault="00D54CAF">
      <w:pPr>
        <w:contextualSpacing/>
        <w:rPr>
          <w:color w:val="000000"/>
        </w:rPr>
      </w:pPr>
      <w:r>
        <w:rPr>
          <w:color w:val="000000"/>
        </w:rPr>
        <w:t xml:space="preserve">Crawford AJ, Belcher CM, Morison JIL, Doerr SH, Kettridge N &amp; Clay GD (2025) Fuel moisture and flammability of leaf litter in British forest plantations and their implications for wildfire risk. </w:t>
      </w:r>
      <w:r>
        <w:rPr>
          <w:i/>
          <w:iCs/>
          <w:color w:val="000000"/>
        </w:rPr>
        <w:t>Forestry: An International Journal of Forest Research</w:t>
      </w:r>
      <w:r>
        <w:rPr>
          <w:color w:val="000000"/>
        </w:rPr>
        <w:t>, cpaf029.</w:t>
      </w:r>
    </w:p>
    <w:p w14:paraId="70AF9B2F" w14:textId="77777777" w:rsidR="00C57DDE" w:rsidRDefault="00C57DDE">
      <w:pPr>
        <w:contextualSpacing/>
        <w:rPr>
          <w:color w:val="000000"/>
        </w:rPr>
      </w:pPr>
    </w:p>
    <w:p w14:paraId="70AF9B30" w14:textId="77777777" w:rsidR="00C57DDE" w:rsidRDefault="00C57DDE">
      <w:pPr>
        <w:contextualSpacing/>
        <w:rPr>
          <w:color w:val="000000"/>
        </w:rPr>
      </w:pPr>
    </w:p>
    <w:sectPr w:rsidR="00C57DDE">
      <w:pgSz w:w="12240" w:h="15840"/>
      <w:pgMar w:top="1134" w:right="1134" w:bottom="1134" w:left="1134" w:header="0" w:footer="0" w:gutter="0"/>
      <w:cols w:space="720"/>
      <w:formProt w:val="0"/>
      <w:docGrid w:linePitch="312"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C6551" w14:textId="77777777" w:rsidR="00A66E5C" w:rsidRDefault="00A66E5C">
      <w:r>
        <w:separator/>
      </w:r>
    </w:p>
  </w:endnote>
  <w:endnote w:type="continuationSeparator" w:id="0">
    <w:p w14:paraId="45DE3969" w14:textId="77777777" w:rsidR="00A66E5C" w:rsidRDefault="00A66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roman"/>
    <w:pitch w:val="variable"/>
  </w:font>
  <w:font w:name="Noto Serif CJK SC">
    <w:panose1 w:val="00000000000000000000"/>
    <w:charset w:val="00"/>
    <w:family w:val="roman"/>
    <w:notTrueType/>
    <w:pitch w:val="default"/>
  </w:font>
  <w:font w:name="FreeSans">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swiss"/>
    <w:pitch w:val="default"/>
  </w:font>
  <w:font w:name="Noto Sans CJK S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7F7D0" w14:textId="77777777" w:rsidR="00A66E5C" w:rsidRDefault="00A66E5C">
      <w:pPr>
        <w:rPr>
          <w:sz w:val="12"/>
        </w:rPr>
      </w:pPr>
      <w:r>
        <w:separator/>
      </w:r>
    </w:p>
  </w:footnote>
  <w:footnote w:type="continuationSeparator" w:id="0">
    <w:p w14:paraId="2281B44E" w14:textId="77777777" w:rsidR="00A66E5C" w:rsidRDefault="00A66E5C">
      <w:pPr>
        <w:rPr>
          <w:sz w:val="12"/>
        </w:rPr>
      </w:pPr>
      <w:r>
        <w:continuationSeparator/>
      </w:r>
    </w:p>
  </w:footnote>
  <w:footnote w:id="1">
    <w:p w14:paraId="70AF9B33" w14:textId="77777777" w:rsidR="00C57DDE" w:rsidRDefault="00D54CAF">
      <w:pPr>
        <w:pStyle w:val="FootnoteText"/>
      </w:pPr>
      <w:r>
        <w:rPr>
          <w:rStyle w:val="FootnoteCharacters"/>
        </w:rPr>
        <w:footnoteRef/>
      </w:r>
      <w:r>
        <w:tab/>
        <w:t>University of Exeter</w:t>
      </w:r>
    </w:p>
  </w:footnote>
  <w:footnote w:id="2">
    <w:p w14:paraId="70AF9B34" w14:textId="77777777" w:rsidR="00C57DDE" w:rsidRDefault="00D54CAF">
      <w:pPr>
        <w:pStyle w:val="FootnoteText"/>
      </w:pPr>
      <w:r>
        <w:rPr>
          <w:rStyle w:val="FootnoteCharacters"/>
        </w:rPr>
        <w:footnoteRef/>
      </w:r>
      <w:r>
        <w:tab/>
        <w:t>Swansea University</w:t>
      </w:r>
    </w:p>
  </w:footnote>
  <w:footnote w:id="3">
    <w:p w14:paraId="70AF9B35" w14:textId="77777777" w:rsidR="00C57DDE" w:rsidRDefault="00D54CAF">
      <w:pPr>
        <w:pStyle w:val="FootnoteText"/>
      </w:pPr>
      <w:r>
        <w:rPr>
          <w:rStyle w:val="FootnoteCharacters"/>
        </w:rPr>
        <w:footnoteRef/>
      </w:r>
      <w:r>
        <w:tab/>
        <w:t>University of Manchester</w:t>
      </w:r>
    </w:p>
  </w:footnote>
  <w:footnote w:id="4">
    <w:p w14:paraId="70AF9B36" w14:textId="77777777" w:rsidR="00C57DDE" w:rsidRDefault="00D54CAF">
      <w:pPr>
        <w:pStyle w:val="FootnoteText"/>
      </w:pPr>
      <w:r>
        <w:rPr>
          <w:rStyle w:val="FootnoteCharacters"/>
        </w:rPr>
        <w:footnoteRef/>
      </w:r>
      <w:r>
        <w:tab/>
        <w:t>University of Birmingham</w:t>
      </w:r>
    </w:p>
  </w:footnote>
  <w:footnote w:id="5">
    <w:p w14:paraId="70AF9B37" w14:textId="77777777" w:rsidR="00C57DDE" w:rsidRDefault="00D54CAF">
      <w:pPr>
        <w:pStyle w:val="FootnoteText"/>
      </w:pPr>
      <w:r>
        <w:rPr>
          <w:rStyle w:val="FootnoteCharacters"/>
        </w:rPr>
        <w:footnoteRef/>
      </w:r>
      <w:r>
        <w:tab/>
        <w:t>Forest Research</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7DDE"/>
    <w:rsid w:val="000F0254"/>
    <w:rsid w:val="00130DAA"/>
    <w:rsid w:val="00144B23"/>
    <w:rsid w:val="0051377C"/>
    <w:rsid w:val="00524738"/>
    <w:rsid w:val="00A10988"/>
    <w:rsid w:val="00A66E5C"/>
    <w:rsid w:val="00C57DDE"/>
    <w:rsid w:val="00D54CAF"/>
    <w:rsid w:val="00D629D5"/>
    <w:rsid w:val="00D91A28"/>
    <w:rsid w:val="00F403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F9A75"/>
  <w15:docId w15:val="{4948513C-9FFE-4A76-B8C1-A80673D0D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FreeSans"/>
        <w:kern w:val="2"/>
        <w:sz w:val="24"/>
        <w:szCs w:val="24"/>
        <w:lang w:val="en-GB"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Heading"/>
    <w:next w:val="BodyText"/>
    <w:uiPriority w:val="9"/>
    <w:qFormat/>
    <w:pPr>
      <w:outlineLvl w:val="0"/>
    </w:pPr>
    <w:rPr>
      <w:rFonts w:ascii="Liberation Serif" w:eastAsia="Noto Serif CJK SC" w:hAnsi="Liberation Serif"/>
      <w:b/>
      <w:bCs/>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Pr>
      <w:b/>
      <w:bCs/>
    </w:rPr>
  </w:style>
  <w:style w:type="character" w:customStyle="1" w:styleId="FootnoteCharacters">
    <w:name w:val="Footnote Characters"/>
    <w:qFormat/>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Comment">
    <w:name w:val="Comment"/>
    <w:basedOn w:val="Normal"/>
    <w:qFormat/>
    <w:rPr>
      <w:sz w:val="20"/>
      <w:szCs w:val="20"/>
    </w:rPr>
  </w:style>
  <w:style w:type="paragraph" w:styleId="FootnoteText">
    <w:name w:val="footnote text"/>
    <w:basedOn w:val="Normal"/>
    <w:pPr>
      <w:suppressLineNumbers/>
      <w:ind w:left="340" w:hanging="34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591</TotalTime>
  <Pages>4</Pages>
  <Words>1372</Words>
  <Characters>7826</Characters>
  <Application>Microsoft Office Word</Application>
  <DocSecurity>0</DocSecurity>
  <Lines>65</Lines>
  <Paragraphs>18</Paragraphs>
  <ScaleCrop>false</ScaleCrop>
  <Company/>
  <LinksUpToDate>false</LinksUpToDate>
  <CharactersWithSpaces>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Claire Wells</cp:lastModifiedBy>
  <cp:revision>9</cp:revision>
  <dcterms:created xsi:type="dcterms:W3CDTF">2026-02-19T14:35:00Z</dcterms:created>
  <dcterms:modified xsi:type="dcterms:W3CDTF">2026-03-02T15:00:00Z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2025-09-18T12:00:47Z</dcterms:created>
  <dc:creator/>
  <dc:description/>
  <dc:language>en-GB</dc:language>
  <cp:lastModifiedBy/>
  <dcterms:modified xsi:type="dcterms:W3CDTF">2026-02-19T13:17:58Z</dcterms:modified>
  <cp:revision>55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dd757b8d-fabb-44b6-8299-3f9d0c1ee522</vt:lpwstr>
  </property>
</Properties>
</file>