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0F288" w14:textId="1CBFC26D" w:rsidR="003F3144" w:rsidRDefault="00435C02">
      <w:pPr>
        <w:rPr>
          <w:rFonts w:asciiTheme="majorHAnsi" w:eastAsiaTheme="majorEastAsia" w:hAnsiTheme="majorHAnsi" w:cstheme="majorBidi"/>
          <w:color w:val="0F4761" w:themeColor="accent1" w:themeShade="BF"/>
          <w:sz w:val="40"/>
          <w:szCs w:val="40"/>
        </w:rPr>
      </w:pPr>
      <w:r w:rsidRPr="00435C02">
        <w:rPr>
          <w:rFonts w:asciiTheme="majorHAnsi" w:eastAsiaTheme="majorEastAsia" w:hAnsiTheme="majorHAnsi" w:cstheme="majorBidi"/>
          <w:color w:val="0F4761" w:themeColor="accent1" w:themeShade="BF"/>
          <w:sz w:val="40"/>
          <w:szCs w:val="40"/>
        </w:rPr>
        <w:t>Seasonal denitrification rates at Warton Bank &amp; Old Hall salt marshes</w:t>
      </w:r>
      <w:r w:rsidR="00792CD0">
        <w:rPr>
          <w:rFonts w:asciiTheme="majorHAnsi" w:eastAsiaTheme="majorEastAsia" w:hAnsiTheme="majorHAnsi" w:cstheme="majorBidi"/>
          <w:color w:val="0F4761" w:themeColor="accent1" w:themeShade="BF"/>
          <w:sz w:val="40"/>
          <w:szCs w:val="40"/>
        </w:rPr>
        <w:t>. March/April 2025</w:t>
      </w:r>
      <w:r w:rsidRPr="00435C02">
        <w:rPr>
          <w:rFonts w:asciiTheme="majorHAnsi" w:eastAsiaTheme="majorEastAsia" w:hAnsiTheme="majorHAnsi" w:cstheme="majorBidi"/>
          <w:color w:val="0F4761" w:themeColor="accent1" w:themeShade="BF"/>
          <w:sz w:val="40"/>
          <w:szCs w:val="40"/>
        </w:rPr>
        <w:t xml:space="preserve"> </w:t>
      </w:r>
      <w:r w:rsidR="00792CD0">
        <w:rPr>
          <w:rFonts w:asciiTheme="majorHAnsi" w:eastAsiaTheme="majorEastAsia" w:hAnsiTheme="majorHAnsi" w:cstheme="majorBidi"/>
          <w:color w:val="0F4761" w:themeColor="accent1" w:themeShade="BF"/>
          <w:sz w:val="40"/>
          <w:szCs w:val="40"/>
        </w:rPr>
        <w:t>–</w:t>
      </w:r>
      <w:r w:rsidRPr="00435C02">
        <w:rPr>
          <w:rFonts w:asciiTheme="majorHAnsi" w:eastAsiaTheme="majorEastAsia" w:hAnsiTheme="majorHAnsi" w:cstheme="majorBidi"/>
          <w:color w:val="0F4761" w:themeColor="accent1" w:themeShade="BF"/>
          <w:sz w:val="40"/>
          <w:szCs w:val="40"/>
        </w:rPr>
        <w:t xml:space="preserve"> </w:t>
      </w:r>
      <w:r w:rsidR="006E77D6">
        <w:rPr>
          <w:rFonts w:asciiTheme="majorHAnsi" w:eastAsiaTheme="majorEastAsia" w:hAnsiTheme="majorHAnsi" w:cstheme="majorBidi"/>
          <w:color w:val="0F4761" w:themeColor="accent1" w:themeShade="BF"/>
          <w:sz w:val="40"/>
          <w:szCs w:val="40"/>
        </w:rPr>
        <w:t>Sep</w:t>
      </w:r>
      <w:r w:rsidR="00792CD0">
        <w:rPr>
          <w:rFonts w:asciiTheme="majorHAnsi" w:eastAsiaTheme="majorEastAsia" w:hAnsiTheme="majorHAnsi" w:cstheme="majorBidi"/>
          <w:color w:val="0F4761" w:themeColor="accent1" w:themeShade="BF"/>
          <w:sz w:val="40"/>
          <w:szCs w:val="40"/>
        </w:rPr>
        <w:t xml:space="preserve">tember </w:t>
      </w:r>
      <w:r w:rsidRPr="00435C02">
        <w:rPr>
          <w:rFonts w:asciiTheme="majorHAnsi" w:eastAsiaTheme="majorEastAsia" w:hAnsiTheme="majorHAnsi" w:cstheme="majorBidi"/>
          <w:color w:val="0F4761" w:themeColor="accent1" w:themeShade="BF"/>
          <w:sz w:val="40"/>
          <w:szCs w:val="40"/>
        </w:rPr>
        <w:t>2025</w:t>
      </w:r>
    </w:p>
    <w:p w14:paraId="27BE6AC7" w14:textId="77777777" w:rsidR="00F460F4" w:rsidRPr="008768B7" w:rsidRDefault="00F460F4" w:rsidP="00F460F4">
      <w:pPr>
        <w:rPr>
          <w:vertAlign w:val="superscript"/>
        </w:rPr>
      </w:pPr>
      <w:r>
        <w:t>Perring, M.P.</w:t>
      </w:r>
      <w:r>
        <w:rPr>
          <w:vertAlign w:val="superscript"/>
        </w:rPr>
        <w:t>1,*</w:t>
      </w:r>
      <w:r>
        <w:t>, Aberg, D.</w:t>
      </w:r>
      <w:r>
        <w:rPr>
          <w:vertAlign w:val="superscript"/>
        </w:rPr>
        <w:t>2,*</w:t>
      </w:r>
      <w:r>
        <w:t>,  de la Barra, P.M.</w:t>
      </w:r>
      <w:r>
        <w:rPr>
          <w:vertAlign w:val="superscript"/>
        </w:rPr>
        <w:t>1</w:t>
      </w:r>
      <w:r>
        <w:t>, Harley, J.</w:t>
      </w:r>
      <w:r>
        <w:rPr>
          <w:vertAlign w:val="superscript"/>
        </w:rPr>
        <w:t>1</w:t>
      </w:r>
      <w:r>
        <w:t>, Fitos, E.</w:t>
      </w:r>
      <w:r w:rsidRPr="03AF116E">
        <w:rPr>
          <w:vertAlign w:val="superscript"/>
        </w:rPr>
        <w:t>1</w:t>
      </w:r>
      <w:r w:rsidRPr="03AF116E">
        <w:t>,</w:t>
      </w:r>
      <w:r>
        <w:t xml:space="preserve"> Marshall-Potter, S.</w:t>
      </w:r>
      <w:r>
        <w:rPr>
          <w:vertAlign w:val="superscript"/>
        </w:rPr>
        <w:t>2</w:t>
      </w:r>
      <w:r>
        <w:t>, Oswald, T.</w:t>
      </w:r>
      <w:r>
        <w:rPr>
          <w:vertAlign w:val="superscript"/>
        </w:rPr>
        <w:t>2</w:t>
      </w:r>
      <w:r>
        <w:t>, Oakley, S.</w:t>
      </w:r>
      <w:r>
        <w:rPr>
          <w:vertAlign w:val="superscript"/>
        </w:rPr>
        <w:t>3</w:t>
      </w:r>
      <w:r>
        <w:t>, Dunn, C.</w:t>
      </w:r>
      <w:r>
        <w:rPr>
          <w:vertAlign w:val="superscript"/>
        </w:rPr>
        <w:t>2</w:t>
      </w:r>
      <w:r>
        <w:t>, Garbutt, A.</w:t>
      </w:r>
      <w:r>
        <w:rPr>
          <w:vertAlign w:val="superscript"/>
        </w:rPr>
        <w:t>1</w:t>
      </w:r>
      <w:r>
        <w:t>, Burden, A.</w:t>
      </w:r>
      <w:r>
        <w:rPr>
          <w:vertAlign w:val="superscript"/>
        </w:rPr>
        <w:t>1</w:t>
      </w:r>
    </w:p>
    <w:p w14:paraId="47F1094A" w14:textId="77777777" w:rsidR="00FA3160" w:rsidRPr="00F35227" w:rsidRDefault="00FA3160" w:rsidP="00FA3160">
      <w:r>
        <w:t>*: Joint first authors</w:t>
      </w:r>
    </w:p>
    <w:p w14:paraId="04FE3427" w14:textId="77777777" w:rsidR="00FA3160" w:rsidRPr="00176605" w:rsidRDefault="00FA3160" w:rsidP="00FA3160">
      <w:pPr>
        <w:rPr>
          <w:b/>
          <w:bCs/>
        </w:rPr>
      </w:pPr>
      <w:r w:rsidRPr="00176605">
        <w:rPr>
          <w:b/>
          <w:bCs/>
        </w:rPr>
        <w:t>A</w:t>
      </w:r>
      <w:r>
        <w:rPr>
          <w:b/>
          <w:bCs/>
        </w:rPr>
        <w:t>DDRESSE</w:t>
      </w:r>
      <w:r w:rsidRPr="00176605">
        <w:rPr>
          <w:b/>
          <w:bCs/>
        </w:rPr>
        <w:t>S</w:t>
      </w:r>
    </w:p>
    <w:p w14:paraId="27236E99" w14:textId="77777777" w:rsidR="00FA3160" w:rsidRDefault="00FA3160" w:rsidP="00FA3160">
      <w:r w:rsidRPr="007C4FCA">
        <w:rPr>
          <w:vertAlign w:val="superscript"/>
        </w:rPr>
        <w:t>1</w:t>
      </w:r>
      <w:r>
        <w:t>: UK Centre for Ecology &amp; Hydrology, Environment Centre Wales, Deiniol Road, Bangor LL57 2UW UNITED KINGDOM</w:t>
      </w:r>
    </w:p>
    <w:p w14:paraId="1556A06D" w14:textId="77777777" w:rsidR="00FA3160" w:rsidRDefault="00FA3160" w:rsidP="00FA3160">
      <w:r w:rsidRPr="007C4FCA">
        <w:rPr>
          <w:vertAlign w:val="superscript"/>
        </w:rPr>
        <w:t>2</w:t>
      </w:r>
      <w:r w:rsidRPr="007C4FCA">
        <w:t>: School of Environmental and Natural Sciences,</w:t>
      </w:r>
      <w:r>
        <w:t xml:space="preserve"> Bangor University, Deiniol Road, Bangor LL57 2UW UNITED KINGDOM</w:t>
      </w:r>
    </w:p>
    <w:p w14:paraId="37553BF5" w14:textId="77777777" w:rsidR="00FA3160" w:rsidRDefault="00FA3160" w:rsidP="00FA3160">
      <w:r w:rsidRPr="007C4FCA">
        <w:rPr>
          <w:vertAlign w:val="superscript"/>
        </w:rPr>
        <w:t>3</w:t>
      </w:r>
      <w:r>
        <w:t>: UK Centre for Ecology &amp; Hydrology, Library Avenue, Bailrigg, Lancaster LA1 4AP UNITED KINGDOM</w:t>
      </w:r>
    </w:p>
    <w:p w14:paraId="3813481E" w14:textId="77777777" w:rsidR="00435C02" w:rsidRDefault="00435C02"/>
    <w:p w14:paraId="6CE13E6B" w14:textId="4DAC9ED3" w:rsidR="003F3144" w:rsidRDefault="003F3144" w:rsidP="003F3144">
      <w:pPr>
        <w:pStyle w:val="Heading2"/>
      </w:pPr>
      <w:bookmarkStart w:id="0" w:name="_Toc212824074"/>
      <w:r>
        <w:t>Summary</w:t>
      </w:r>
      <w:bookmarkEnd w:id="0"/>
    </w:p>
    <w:p w14:paraId="31C93E97" w14:textId="202DCAFC" w:rsidR="003F3144" w:rsidRDefault="003F3144" w:rsidP="00337F8C">
      <w:pPr>
        <w:spacing w:before="240" w:after="120" w:line="276" w:lineRule="auto"/>
        <w:rPr>
          <w:szCs w:val="24"/>
        </w:rPr>
      </w:pPr>
      <w:r w:rsidRPr="003F3144">
        <w:rPr>
          <w:szCs w:val="24"/>
        </w:rPr>
        <w:t>A key ecosystem service in coastal systems is remediation of nutrient pollution through sediment burial, vegetative uptake and microbial processing. Denitrification is a facultative anaerobic process where microbial activity transforms nitrate (NO</w:t>
      </w:r>
      <w:r w:rsidRPr="003F3144">
        <w:rPr>
          <w:szCs w:val="24"/>
          <w:vertAlign w:val="subscript"/>
        </w:rPr>
        <w:t>3</w:t>
      </w:r>
      <w:r w:rsidRPr="003F3144">
        <w:rPr>
          <w:szCs w:val="24"/>
          <w:vertAlign w:val="superscript"/>
        </w:rPr>
        <w:t>-</w:t>
      </w:r>
      <w:r w:rsidRPr="003F3144">
        <w:rPr>
          <w:szCs w:val="24"/>
        </w:rPr>
        <w:t>), which in high concentrations can be environmentally harmful, into the environmentally benign dinitrogen gas (N</w:t>
      </w:r>
      <w:r w:rsidRPr="003F3144">
        <w:rPr>
          <w:szCs w:val="24"/>
          <w:vertAlign w:val="subscript"/>
        </w:rPr>
        <w:t>2</w:t>
      </w:r>
      <w:r w:rsidRPr="003F3144">
        <w:rPr>
          <w:szCs w:val="24"/>
        </w:rPr>
        <w:t>). Denitrification’s magnitude is considered particularly important in saltmarsh systems compared to other habitats, although an intermediate product, nitrous oxide (N</w:t>
      </w:r>
      <w:r w:rsidRPr="003F3144">
        <w:rPr>
          <w:szCs w:val="24"/>
          <w:vertAlign w:val="subscript"/>
        </w:rPr>
        <w:t>2</w:t>
      </w:r>
      <w:r w:rsidRPr="003F3144">
        <w:rPr>
          <w:szCs w:val="24"/>
        </w:rPr>
        <w:t>O), can also be given off and contribute to climate change.</w:t>
      </w:r>
      <w:r>
        <w:rPr>
          <w:szCs w:val="24"/>
        </w:rPr>
        <w:t xml:space="preserve"> </w:t>
      </w:r>
    </w:p>
    <w:p w14:paraId="4C3D0A54" w14:textId="006EA15E" w:rsidR="003F3144" w:rsidRPr="00B07E20" w:rsidRDefault="003F3144" w:rsidP="003F3144">
      <w:pPr>
        <w:rPr>
          <w:color w:val="FF0000"/>
        </w:rPr>
      </w:pPr>
      <w:r>
        <w:rPr>
          <w:szCs w:val="24"/>
        </w:rPr>
        <w:t>Here, we improve the evidence base on denitrification, and potential relationships with purported drivers, through a seasonal study of denitrification rates in saltmarsh. Using a combination of classic vegetation survey techniques, core extraction, and subsequent laboratory processing, we aim to quantify relative variation in denitrification rates across environmental contexts.</w:t>
      </w:r>
    </w:p>
    <w:p w14:paraId="361DF774" w14:textId="6EC230AD" w:rsidR="003F3144" w:rsidRDefault="003F3144" w:rsidP="003F3144">
      <w:pPr>
        <w:spacing w:before="240" w:after="120" w:line="276" w:lineRule="auto"/>
      </w:pPr>
      <w:r>
        <w:t xml:space="preserve">In two saltmarshes, Old Hall in the Blackwater (southeast England) and Warton Bank in the Ribble (northwest England), we sampled every six to eight weeks from </w:t>
      </w:r>
      <w:r w:rsidR="00FA3160">
        <w:t>March/April</w:t>
      </w:r>
      <w:r>
        <w:t xml:space="preserve"> 202</w:t>
      </w:r>
      <w:r w:rsidR="00E66499">
        <w:t>5</w:t>
      </w:r>
      <w:r>
        <w:t xml:space="preserve"> to </w:t>
      </w:r>
      <w:r w:rsidR="006E77D6">
        <w:t>September</w:t>
      </w:r>
      <w:r>
        <w:t xml:space="preserve"> 2025</w:t>
      </w:r>
      <w:r w:rsidR="00585133">
        <w:t xml:space="preserve"> </w:t>
      </w:r>
      <w:r>
        <w:t>to characterise seasonal denitrification and vegetation dynamics.</w:t>
      </w:r>
    </w:p>
    <w:p w14:paraId="17EBDB6B" w14:textId="4BC29DBD" w:rsidR="00466419" w:rsidRDefault="00A55D3E" w:rsidP="003F3144">
      <w:pPr>
        <w:spacing w:before="240" w:after="120" w:line="276" w:lineRule="auto"/>
      </w:pPr>
      <w:r>
        <w:t>This data accompanies the technical report</w:t>
      </w:r>
      <w:r w:rsidR="00DB7293">
        <w:t xml:space="preserve"> “</w:t>
      </w:r>
      <w:r w:rsidR="00DB7293" w:rsidRPr="00DB7293">
        <w:t>Denitrification dynamics and relationships with potential drivers across English saltmarshes, seagrass beds, and mudflats: Capturing national variation in space and time</w:t>
      </w:r>
      <w:r w:rsidR="00DB7293">
        <w:t>”</w:t>
      </w:r>
      <w:r w:rsidR="00C41666">
        <w:t xml:space="preserve">. It is complementary to the dataset published at </w:t>
      </w:r>
      <w:hyperlink r:id="rId8" w:history="1">
        <w:r w:rsidR="00602700" w:rsidRPr="00F906B6">
          <w:rPr>
            <w:rStyle w:val="Hyperlink"/>
          </w:rPr>
          <w:t>https://catalogue.ceh.ac.uk/id/26efc506-a265-4bb1-8296-d6988ab8d714</w:t>
        </w:r>
      </w:hyperlink>
    </w:p>
    <w:p w14:paraId="7CFA903E" w14:textId="77777777" w:rsidR="00602700" w:rsidRDefault="00602700" w:rsidP="003F3144">
      <w:pPr>
        <w:spacing w:before="240" w:after="120" w:line="276" w:lineRule="auto"/>
      </w:pPr>
    </w:p>
    <w:sdt>
      <w:sdtPr>
        <w:rPr>
          <w:rFonts w:asciiTheme="minorHAnsi" w:eastAsiaTheme="minorHAnsi" w:hAnsiTheme="minorHAnsi" w:cstheme="minorBidi"/>
          <w:color w:val="auto"/>
          <w:kern w:val="2"/>
          <w:sz w:val="22"/>
          <w:szCs w:val="22"/>
          <w:lang w:eastAsia="en-US"/>
          <w14:ligatures w14:val="standardContextual"/>
        </w:rPr>
        <w:id w:val="1310598820"/>
        <w:docPartObj>
          <w:docPartGallery w:val="Table of Contents"/>
          <w:docPartUnique/>
        </w:docPartObj>
      </w:sdtPr>
      <w:sdtEndPr>
        <w:rPr>
          <w:b/>
          <w:bCs/>
        </w:rPr>
      </w:sdtEndPr>
      <w:sdtContent>
        <w:p w14:paraId="4DD70387" w14:textId="338C43BC" w:rsidR="00466419" w:rsidRDefault="00466419">
          <w:pPr>
            <w:pStyle w:val="TOCHeading"/>
          </w:pPr>
          <w:r>
            <w:t>Contents</w:t>
          </w:r>
        </w:p>
        <w:p w14:paraId="55BD0304" w14:textId="48B36ACA" w:rsidR="00466419" w:rsidRDefault="00466419">
          <w:pPr>
            <w:pStyle w:val="TOC2"/>
            <w:tabs>
              <w:tab w:val="right" w:leader="dot" w:pos="9016"/>
            </w:tabs>
            <w:rPr>
              <w:rFonts w:eastAsiaTheme="minorEastAsia"/>
              <w:noProof/>
              <w:sz w:val="24"/>
              <w:szCs w:val="24"/>
              <w:lang w:eastAsia="en-GB"/>
            </w:rPr>
          </w:pPr>
          <w:r>
            <w:fldChar w:fldCharType="begin"/>
          </w:r>
          <w:r>
            <w:instrText xml:space="preserve"> TOC \o "1-3" \h \z \u </w:instrText>
          </w:r>
          <w:r>
            <w:fldChar w:fldCharType="separate"/>
          </w:r>
          <w:hyperlink w:anchor="_Toc212824074" w:history="1">
            <w:r w:rsidRPr="001B61C4">
              <w:rPr>
                <w:rStyle w:val="Hyperlink"/>
                <w:noProof/>
              </w:rPr>
              <w:t>Summary</w:t>
            </w:r>
            <w:r>
              <w:rPr>
                <w:noProof/>
                <w:webHidden/>
              </w:rPr>
              <w:tab/>
            </w:r>
            <w:r>
              <w:rPr>
                <w:noProof/>
                <w:webHidden/>
              </w:rPr>
              <w:fldChar w:fldCharType="begin"/>
            </w:r>
            <w:r>
              <w:rPr>
                <w:noProof/>
                <w:webHidden/>
              </w:rPr>
              <w:instrText xml:space="preserve"> PAGEREF _Toc212824074 \h </w:instrText>
            </w:r>
            <w:r>
              <w:rPr>
                <w:noProof/>
                <w:webHidden/>
              </w:rPr>
            </w:r>
            <w:r>
              <w:rPr>
                <w:noProof/>
                <w:webHidden/>
              </w:rPr>
              <w:fldChar w:fldCharType="separate"/>
            </w:r>
            <w:r w:rsidR="003A2367">
              <w:rPr>
                <w:noProof/>
                <w:webHidden/>
              </w:rPr>
              <w:t>1</w:t>
            </w:r>
            <w:r>
              <w:rPr>
                <w:noProof/>
                <w:webHidden/>
              </w:rPr>
              <w:fldChar w:fldCharType="end"/>
            </w:r>
          </w:hyperlink>
        </w:p>
        <w:p w14:paraId="4F2988F1" w14:textId="0949CD61" w:rsidR="00466419" w:rsidRDefault="00466419">
          <w:pPr>
            <w:pStyle w:val="TOC2"/>
            <w:tabs>
              <w:tab w:val="right" w:leader="dot" w:pos="9016"/>
            </w:tabs>
            <w:rPr>
              <w:rFonts w:eastAsiaTheme="minorEastAsia"/>
              <w:noProof/>
              <w:sz w:val="24"/>
              <w:szCs w:val="24"/>
              <w:lang w:eastAsia="en-GB"/>
            </w:rPr>
          </w:pPr>
          <w:hyperlink w:anchor="_Toc212824075" w:history="1">
            <w:r w:rsidRPr="001B61C4">
              <w:rPr>
                <w:rStyle w:val="Hyperlink"/>
                <w:noProof/>
              </w:rPr>
              <w:t>Files included</w:t>
            </w:r>
            <w:r>
              <w:rPr>
                <w:noProof/>
                <w:webHidden/>
              </w:rPr>
              <w:tab/>
            </w:r>
            <w:r>
              <w:rPr>
                <w:noProof/>
                <w:webHidden/>
              </w:rPr>
              <w:fldChar w:fldCharType="begin"/>
            </w:r>
            <w:r>
              <w:rPr>
                <w:noProof/>
                <w:webHidden/>
              </w:rPr>
              <w:instrText xml:space="preserve"> PAGEREF _Toc212824075 \h </w:instrText>
            </w:r>
            <w:r>
              <w:rPr>
                <w:noProof/>
                <w:webHidden/>
              </w:rPr>
            </w:r>
            <w:r>
              <w:rPr>
                <w:noProof/>
                <w:webHidden/>
              </w:rPr>
              <w:fldChar w:fldCharType="separate"/>
            </w:r>
            <w:r w:rsidR="003A2367">
              <w:rPr>
                <w:noProof/>
                <w:webHidden/>
              </w:rPr>
              <w:t>2</w:t>
            </w:r>
            <w:r>
              <w:rPr>
                <w:noProof/>
                <w:webHidden/>
              </w:rPr>
              <w:fldChar w:fldCharType="end"/>
            </w:r>
          </w:hyperlink>
        </w:p>
        <w:p w14:paraId="07777340" w14:textId="390681BD" w:rsidR="00466419" w:rsidRDefault="00466419">
          <w:pPr>
            <w:pStyle w:val="TOC2"/>
            <w:tabs>
              <w:tab w:val="right" w:leader="dot" w:pos="9016"/>
            </w:tabs>
            <w:rPr>
              <w:rFonts w:eastAsiaTheme="minorEastAsia"/>
              <w:noProof/>
              <w:sz w:val="24"/>
              <w:szCs w:val="24"/>
              <w:lang w:eastAsia="en-GB"/>
            </w:rPr>
          </w:pPr>
          <w:hyperlink w:anchor="_Toc212824076" w:history="1">
            <w:r w:rsidRPr="001B61C4">
              <w:rPr>
                <w:rStyle w:val="Hyperlink"/>
                <w:noProof/>
              </w:rPr>
              <w:t>Spatial and temporal coverage</w:t>
            </w:r>
            <w:r>
              <w:rPr>
                <w:noProof/>
                <w:webHidden/>
              </w:rPr>
              <w:tab/>
            </w:r>
            <w:r>
              <w:rPr>
                <w:noProof/>
                <w:webHidden/>
              </w:rPr>
              <w:fldChar w:fldCharType="begin"/>
            </w:r>
            <w:r>
              <w:rPr>
                <w:noProof/>
                <w:webHidden/>
              </w:rPr>
              <w:instrText xml:space="preserve"> PAGEREF _Toc212824076 \h </w:instrText>
            </w:r>
            <w:r>
              <w:rPr>
                <w:noProof/>
                <w:webHidden/>
              </w:rPr>
            </w:r>
            <w:r>
              <w:rPr>
                <w:noProof/>
                <w:webHidden/>
              </w:rPr>
              <w:fldChar w:fldCharType="separate"/>
            </w:r>
            <w:r w:rsidR="003A2367">
              <w:rPr>
                <w:noProof/>
                <w:webHidden/>
              </w:rPr>
              <w:t>3</w:t>
            </w:r>
            <w:r>
              <w:rPr>
                <w:noProof/>
                <w:webHidden/>
              </w:rPr>
              <w:fldChar w:fldCharType="end"/>
            </w:r>
          </w:hyperlink>
        </w:p>
        <w:p w14:paraId="0C8D0EBB" w14:textId="68C43BDC" w:rsidR="00466419" w:rsidRDefault="00466419">
          <w:pPr>
            <w:pStyle w:val="TOC2"/>
            <w:tabs>
              <w:tab w:val="right" w:leader="dot" w:pos="9016"/>
            </w:tabs>
            <w:rPr>
              <w:rFonts w:eastAsiaTheme="minorEastAsia"/>
              <w:noProof/>
              <w:sz w:val="24"/>
              <w:szCs w:val="24"/>
              <w:lang w:eastAsia="en-GB"/>
            </w:rPr>
          </w:pPr>
          <w:hyperlink w:anchor="_Toc212824077" w:history="1">
            <w:r w:rsidRPr="001B61C4">
              <w:rPr>
                <w:rStyle w:val="Hyperlink"/>
                <w:noProof/>
              </w:rPr>
              <w:t>Sampling regime and experimental design</w:t>
            </w:r>
            <w:r>
              <w:rPr>
                <w:noProof/>
                <w:webHidden/>
              </w:rPr>
              <w:tab/>
            </w:r>
            <w:r>
              <w:rPr>
                <w:noProof/>
                <w:webHidden/>
              </w:rPr>
              <w:fldChar w:fldCharType="begin"/>
            </w:r>
            <w:r>
              <w:rPr>
                <w:noProof/>
                <w:webHidden/>
              </w:rPr>
              <w:instrText xml:space="preserve"> PAGEREF _Toc212824077 \h </w:instrText>
            </w:r>
            <w:r>
              <w:rPr>
                <w:noProof/>
                <w:webHidden/>
              </w:rPr>
            </w:r>
            <w:r>
              <w:rPr>
                <w:noProof/>
                <w:webHidden/>
              </w:rPr>
              <w:fldChar w:fldCharType="separate"/>
            </w:r>
            <w:r w:rsidR="003A2367">
              <w:rPr>
                <w:noProof/>
                <w:webHidden/>
              </w:rPr>
              <w:t>3</w:t>
            </w:r>
            <w:r>
              <w:rPr>
                <w:noProof/>
                <w:webHidden/>
              </w:rPr>
              <w:fldChar w:fldCharType="end"/>
            </w:r>
          </w:hyperlink>
        </w:p>
        <w:p w14:paraId="1A7AE36B" w14:textId="6FEBF9B2" w:rsidR="00466419" w:rsidRDefault="00466419">
          <w:pPr>
            <w:pStyle w:val="TOC3"/>
            <w:tabs>
              <w:tab w:val="right" w:leader="dot" w:pos="9016"/>
            </w:tabs>
            <w:rPr>
              <w:rFonts w:eastAsiaTheme="minorEastAsia"/>
              <w:noProof/>
              <w:sz w:val="24"/>
              <w:szCs w:val="24"/>
              <w:lang w:eastAsia="en-GB"/>
            </w:rPr>
          </w:pPr>
          <w:hyperlink w:anchor="_Toc212824078" w:history="1">
            <w:r w:rsidRPr="001B61C4">
              <w:rPr>
                <w:rStyle w:val="Hyperlink"/>
                <w:noProof/>
              </w:rPr>
              <w:t>Saltmarsh Vegetation Community</w:t>
            </w:r>
            <w:r>
              <w:rPr>
                <w:noProof/>
                <w:webHidden/>
              </w:rPr>
              <w:tab/>
            </w:r>
            <w:r>
              <w:rPr>
                <w:noProof/>
                <w:webHidden/>
              </w:rPr>
              <w:fldChar w:fldCharType="begin"/>
            </w:r>
            <w:r>
              <w:rPr>
                <w:noProof/>
                <w:webHidden/>
              </w:rPr>
              <w:instrText xml:space="preserve"> PAGEREF _Toc212824078 \h </w:instrText>
            </w:r>
            <w:r>
              <w:rPr>
                <w:noProof/>
                <w:webHidden/>
              </w:rPr>
            </w:r>
            <w:r>
              <w:rPr>
                <w:noProof/>
                <w:webHidden/>
              </w:rPr>
              <w:fldChar w:fldCharType="separate"/>
            </w:r>
            <w:r w:rsidR="003A2367">
              <w:rPr>
                <w:noProof/>
                <w:webHidden/>
              </w:rPr>
              <w:t>3</w:t>
            </w:r>
            <w:r>
              <w:rPr>
                <w:noProof/>
                <w:webHidden/>
              </w:rPr>
              <w:fldChar w:fldCharType="end"/>
            </w:r>
          </w:hyperlink>
        </w:p>
        <w:p w14:paraId="77733E49" w14:textId="3A5D91D8" w:rsidR="00466419" w:rsidRDefault="00466419">
          <w:pPr>
            <w:pStyle w:val="TOC3"/>
            <w:tabs>
              <w:tab w:val="right" w:leader="dot" w:pos="9016"/>
            </w:tabs>
            <w:rPr>
              <w:rFonts w:eastAsiaTheme="minorEastAsia"/>
              <w:noProof/>
              <w:sz w:val="24"/>
              <w:szCs w:val="24"/>
              <w:lang w:eastAsia="en-GB"/>
            </w:rPr>
          </w:pPr>
          <w:hyperlink w:anchor="_Toc212824079" w:history="1">
            <w:r w:rsidRPr="001B61C4">
              <w:rPr>
                <w:rStyle w:val="Hyperlink"/>
                <w:noProof/>
              </w:rPr>
              <w:t>Saltmarsh Denitrification and Sediment Characterisation: Sample Collection for Analysis</w:t>
            </w:r>
            <w:r>
              <w:rPr>
                <w:noProof/>
                <w:webHidden/>
              </w:rPr>
              <w:tab/>
            </w:r>
            <w:r>
              <w:rPr>
                <w:noProof/>
                <w:webHidden/>
              </w:rPr>
              <w:fldChar w:fldCharType="begin"/>
            </w:r>
            <w:r>
              <w:rPr>
                <w:noProof/>
                <w:webHidden/>
              </w:rPr>
              <w:instrText xml:space="preserve"> PAGEREF _Toc212824079 \h </w:instrText>
            </w:r>
            <w:r>
              <w:rPr>
                <w:noProof/>
                <w:webHidden/>
              </w:rPr>
            </w:r>
            <w:r>
              <w:rPr>
                <w:noProof/>
                <w:webHidden/>
              </w:rPr>
              <w:fldChar w:fldCharType="separate"/>
            </w:r>
            <w:r w:rsidR="003A2367">
              <w:rPr>
                <w:noProof/>
                <w:webHidden/>
              </w:rPr>
              <w:t>4</w:t>
            </w:r>
            <w:r>
              <w:rPr>
                <w:noProof/>
                <w:webHidden/>
              </w:rPr>
              <w:fldChar w:fldCharType="end"/>
            </w:r>
          </w:hyperlink>
        </w:p>
        <w:p w14:paraId="1B295C20" w14:textId="46AA8143" w:rsidR="00466419" w:rsidRDefault="00466419">
          <w:pPr>
            <w:pStyle w:val="TOC3"/>
            <w:tabs>
              <w:tab w:val="right" w:leader="dot" w:pos="9016"/>
            </w:tabs>
            <w:rPr>
              <w:rFonts w:eastAsiaTheme="minorEastAsia"/>
              <w:noProof/>
              <w:sz w:val="24"/>
              <w:szCs w:val="24"/>
              <w:lang w:eastAsia="en-GB"/>
            </w:rPr>
          </w:pPr>
          <w:hyperlink w:anchor="_Toc212824080" w:history="1">
            <w:r w:rsidRPr="001B61C4">
              <w:rPr>
                <w:rStyle w:val="Hyperlink"/>
                <w:noProof/>
              </w:rPr>
              <w:t>Saltmarsh Porewater and Estuarine Water Tidal Sample Collection</w:t>
            </w:r>
            <w:r>
              <w:rPr>
                <w:noProof/>
                <w:webHidden/>
              </w:rPr>
              <w:tab/>
            </w:r>
            <w:r>
              <w:rPr>
                <w:noProof/>
                <w:webHidden/>
              </w:rPr>
              <w:fldChar w:fldCharType="begin"/>
            </w:r>
            <w:r>
              <w:rPr>
                <w:noProof/>
                <w:webHidden/>
              </w:rPr>
              <w:instrText xml:space="preserve"> PAGEREF _Toc212824080 \h </w:instrText>
            </w:r>
            <w:r>
              <w:rPr>
                <w:noProof/>
                <w:webHidden/>
              </w:rPr>
            </w:r>
            <w:r>
              <w:rPr>
                <w:noProof/>
                <w:webHidden/>
              </w:rPr>
              <w:fldChar w:fldCharType="separate"/>
            </w:r>
            <w:r w:rsidR="003A2367">
              <w:rPr>
                <w:noProof/>
                <w:webHidden/>
              </w:rPr>
              <w:t>4</w:t>
            </w:r>
            <w:r>
              <w:rPr>
                <w:noProof/>
                <w:webHidden/>
              </w:rPr>
              <w:fldChar w:fldCharType="end"/>
            </w:r>
          </w:hyperlink>
        </w:p>
        <w:p w14:paraId="1CBFF6CB" w14:textId="71B551C6" w:rsidR="00466419" w:rsidRDefault="00466419">
          <w:pPr>
            <w:pStyle w:val="TOC2"/>
            <w:tabs>
              <w:tab w:val="right" w:leader="dot" w:pos="9016"/>
            </w:tabs>
            <w:rPr>
              <w:rFonts w:eastAsiaTheme="minorEastAsia"/>
              <w:noProof/>
              <w:sz w:val="24"/>
              <w:szCs w:val="24"/>
              <w:lang w:eastAsia="en-GB"/>
            </w:rPr>
          </w:pPr>
          <w:hyperlink w:anchor="_Toc212824081" w:history="1">
            <w:r w:rsidRPr="001B61C4">
              <w:rPr>
                <w:rStyle w:val="Hyperlink"/>
                <w:noProof/>
              </w:rPr>
              <w:t>Laboratory Analyses</w:t>
            </w:r>
            <w:r>
              <w:rPr>
                <w:noProof/>
                <w:webHidden/>
              </w:rPr>
              <w:tab/>
            </w:r>
            <w:r>
              <w:rPr>
                <w:noProof/>
                <w:webHidden/>
              </w:rPr>
              <w:fldChar w:fldCharType="begin"/>
            </w:r>
            <w:r>
              <w:rPr>
                <w:noProof/>
                <w:webHidden/>
              </w:rPr>
              <w:instrText xml:space="preserve"> PAGEREF _Toc212824081 \h </w:instrText>
            </w:r>
            <w:r>
              <w:rPr>
                <w:noProof/>
                <w:webHidden/>
              </w:rPr>
            </w:r>
            <w:r>
              <w:rPr>
                <w:noProof/>
                <w:webHidden/>
              </w:rPr>
              <w:fldChar w:fldCharType="separate"/>
            </w:r>
            <w:r w:rsidR="003A2367">
              <w:rPr>
                <w:noProof/>
                <w:webHidden/>
              </w:rPr>
              <w:t>4</w:t>
            </w:r>
            <w:r>
              <w:rPr>
                <w:noProof/>
                <w:webHidden/>
              </w:rPr>
              <w:fldChar w:fldCharType="end"/>
            </w:r>
          </w:hyperlink>
        </w:p>
        <w:p w14:paraId="0B6B81F2" w14:textId="5DDA51FF" w:rsidR="00466419" w:rsidRDefault="00466419">
          <w:pPr>
            <w:pStyle w:val="TOC3"/>
            <w:tabs>
              <w:tab w:val="right" w:leader="dot" w:pos="9016"/>
            </w:tabs>
            <w:rPr>
              <w:rFonts w:eastAsiaTheme="minorEastAsia"/>
              <w:noProof/>
              <w:sz w:val="24"/>
              <w:szCs w:val="24"/>
              <w:lang w:eastAsia="en-GB"/>
            </w:rPr>
          </w:pPr>
          <w:hyperlink w:anchor="_Toc212824082" w:history="1">
            <w:r w:rsidRPr="001B61C4">
              <w:rPr>
                <w:rStyle w:val="Hyperlink"/>
                <w:noProof/>
              </w:rPr>
              <w:t>Denitrification Dynamics: The Wetland Hydroperiod Simulator Approach</w:t>
            </w:r>
            <w:r>
              <w:rPr>
                <w:noProof/>
                <w:webHidden/>
              </w:rPr>
              <w:tab/>
            </w:r>
            <w:r>
              <w:rPr>
                <w:noProof/>
                <w:webHidden/>
              </w:rPr>
              <w:fldChar w:fldCharType="begin"/>
            </w:r>
            <w:r>
              <w:rPr>
                <w:noProof/>
                <w:webHidden/>
              </w:rPr>
              <w:instrText xml:space="preserve"> PAGEREF _Toc212824082 \h </w:instrText>
            </w:r>
            <w:r>
              <w:rPr>
                <w:noProof/>
                <w:webHidden/>
              </w:rPr>
            </w:r>
            <w:r>
              <w:rPr>
                <w:noProof/>
                <w:webHidden/>
              </w:rPr>
              <w:fldChar w:fldCharType="separate"/>
            </w:r>
            <w:r w:rsidR="003A2367">
              <w:rPr>
                <w:noProof/>
                <w:webHidden/>
              </w:rPr>
              <w:t>4</w:t>
            </w:r>
            <w:r>
              <w:rPr>
                <w:noProof/>
                <w:webHidden/>
              </w:rPr>
              <w:fldChar w:fldCharType="end"/>
            </w:r>
          </w:hyperlink>
        </w:p>
        <w:p w14:paraId="3664DD3B" w14:textId="6186FD5B" w:rsidR="00466419" w:rsidRDefault="00466419">
          <w:pPr>
            <w:pStyle w:val="TOC3"/>
            <w:tabs>
              <w:tab w:val="right" w:leader="dot" w:pos="9016"/>
            </w:tabs>
            <w:rPr>
              <w:rFonts w:eastAsiaTheme="minorEastAsia"/>
              <w:noProof/>
              <w:sz w:val="24"/>
              <w:szCs w:val="24"/>
              <w:lang w:eastAsia="en-GB"/>
            </w:rPr>
          </w:pPr>
          <w:hyperlink w:anchor="_Toc212824083" w:history="1">
            <w:r w:rsidRPr="001B61C4">
              <w:rPr>
                <w:rStyle w:val="Hyperlink"/>
                <w:noProof/>
              </w:rPr>
              <w:t>Denitrification Dynamics: Gas Analysis</w:t>
            </w:r>
            <w:r>
              <w:rPr>
                <w:noProof/>
                <w:webHidden/>
              </w:rPr>
              <w:tab/>
            </w:r>
            <w:r>
              <w:rPr>
                <w:noProof/>
                <w:webHidden/>
              </w:rPr>
              <w:fldChar w:fldCharType="begin"/>
            </w:r>
            <w:r>
              <w:rPr>
                <w:noProof/>
                <w:webHidden/>
              </w:rPr>
              <w:instrText xml:space="preserve"> PAGEREF _Toc212824083 \h </w:instrText>
            </w:r>
            <w:r>
              <w:rPr>
                <w:noProof/>
                <w:webHidden/>
              </w:rPr>
            </w:r>
            <w:r>
              <w:rPr>
                <w:noProof/>
                <w:webHidden/>
              </w:rPr>
              <w:fldChar w:fldCharType="separate"/>
            </w:r>
            <w:r w:rsidR="003A2367">
              <w:rPr>
                <w:noProof/>
                <w:webHidden/>
              </w:rPr>
              <w:t>6</w:t>
            </w:r>
            <w:r>
              <w:rPr>
                <w:noProof/>
                <w:webHidden/>
              </w:rPr>
              <w:fldChar w:fldCharType="end"/>
            </w:r>
          </w:hyperlink>
        </w:p>
        <w:p w14:paraId="568802BD" w14:textId="652C29FC" w:rsidR="00466419" w:rsidRDefault="00466419">
          <w:pPr>
            <w:pStyle w:val="TOC3"/>
            <w:tabs>
              <w:tab w:val="right" w:leader="dot" w:pos="9016"/>
            </w:tabs>
            <w:rPr>
              <w:rFonts w:eastAsiaTheme="minorEastAsia"/>
              <w:noProof/>
              <w:sz w:val="24"/>
              <w:szCs w:val="24"/>
              <w:lang w:eastAsia="en-GB"/>
            </w:rPr>
          </w:pPr>
          <w:hyperlink w:anchor="_Toc212824084" w:history="1">
            <w:r w:rsidRPr="001B61C4">
              <w:rPr>
                <w:rStyle w:val="Hyperlink"/>
                <w:noProof/>
              </w:rPr>
              <w:t>Denitrification Dynamics: Calculation of Potential Denitrification Rates</w:t>
            </w:r>
            <w:r>
              <w:rPr>
                <w:noProof/>
                <w:webHidden/>
              </w:rPr>
              <w:tab/>
            </w:r>
            <w:r>
              <w:rPr>
                <w:noProof/>
                <w:webHidden/>
              </w:rPr>
              <w:fldChar w:fldCharType="begin"/>
            </w:r>
            <w:r>
              <w:rPr>
                <w:noProof/>
                <w:webHidden/>
              </w:rPr>
              <w:instrText xml:space="preserve"> PAGEREF _Toc212824084 \h </w:instrText>
            </w:r>
            <w:r>
              <w:rPr>
                <w:noProof/>
                <w:webHidden/>
              </w:rPr>
            </w:r>
            <w:r>
              <w:rPr>
                <w:noProof/>
                <w:webHidden/>
              </w:rPr>
              <w:fldChar w:fldCharType="separate"/>
            </w:r>
            <w:r w:rsidR="003A2367">
              <w:rPr>
                <w:noProof/>
                <w:webHidden/>
              </w:rPr>
              <w:t>6</w:t>
            </w:r>
            <w:r>
              <w:rPr>
                <w:noProof/>
                <w:webHidden/>
              </w:rPr>
              <w:fldChar w:fldCharType="end"/>
            </w:r>
          </w:hyperlink>
        </w:p>
        <w:p w14:paraId="3ADDF27D" w14:textId="2607C4BA" w:rsidR="00466419" w:rsidRDefault="00466419">
          <w:pPr>
            <w:pStyle w:val="TOC3"/>
            <w:tabs>
              <w:tab w:val="right" w:leader="dot" w:pos="9016"/>
            </w:tabs>
            <w:rPr>
              <w:rFonts w:eastAsiaTheme="minorEastAsia"/>
              <w:noProof/>
              <w:sz w:val="24"/>
              <w:szCs w:val="24"/>
              <w:lang w:eastAsia="en-GB"/>
            </w:rPr>
          </w:pPr>
          <w:hyperlink w:anchor="_Toc212824085" w:history="1">
            <w:r w:rsidRPr="001B61C4">
              <w:rPr>
                <w:rStyle w:val="Hyperlink"/>
                <w:noProof/>
              </w:rPr>
              <w:t>Porewater and Seawater Samples</w:t>
            </w:r>
            <w:r>
              <w:rPr>
                <w:noProof/>
                <w:webHidden/>
              </w:rPr>
              <w:tab/>
            </w:r>
            <w:r>
              <w:rPr>
                <w:noProof/>
                <w:webHidden/>
              </w:rPr>
              <w:fldChar w:fldCharType="begin"/>
            </w:r>
            <w:r>
              <w:rPr>
                <w:noProof/>
                <w:webHidden/>
              </w:rPr>
              <w:instrText xml:space="preserve"> PAGEREF _Toc212824085 \h </w:instrText>
            </w:r>
            <w:r>
              <w:rPr>
                <w:noProof/>
                <w:webHidden/>
              </w:rPr>
            </w:r>
            <w:r>
              <w:rPr>
                <w:noProof/>
                <w:webHidden/>
              </w:rPr>
              <w:fldChar w:fldCharType="separate"/>
            </w:r>
            <w:r w:rsidR="003A2367">
              <w:rPr>
                <w:noProof/>
                <w:webHidden/>
              </w:rPr>
              <w:t>7</w:t>
            </w:r>
            <w:r>
              <w:rPr>
                <w:noProof/>
                <w:webHidden/>
              </w:rPr>
              <w:fldChar w:fldCharType="end"/>
            </w:r>
          </w:hyperlink>
        </w:p>
        <w:p w14:paraId="6FAC797A" w14:textId="54ACAF09" w:rsidR="00466419" w:rsidRDefault="00466419">
          <w:pPr>
            <w:pStyle w:val="TOC3"/>
            <w:tabs>
              <w:tab w:val="right" w:leader="dot" w:pos="9016"/>
            </w:tabs>
            <w:rPr>
              <w:rFonts w:eastAsiaTheme="minorEastAsia"/>
              <w:noProof/>
              <w:sz w:val="24"/>
              <w:szCs w:val="24"/>
              <w:lang w:eastAsia="en-GB"/>
            </w:rPr>
          </w:pPr>
          <w:hyperlink w:anchor="_Toc212824086" w:history="1">
            <w:r w:rsidRPr="001B61C4">
              <w:rPr>
                <w:rStyle w:val="Hyperlink"/>
                <w:noProof/>
              </w:rPr>
              <w:t>Organic Matter content and Bulk Density</w:t>
            </w:r>
            <w:r>
              <w:rPr>
                <w:noProof/>
                <w:webHidden/>
              </w:rPr>
              <w:tab/>
            </w:r>
            <w:r>
              <w:rPr>
                <w:noProof/>
                <w:webHidden/>
              </w:rPr>
              <w:fldChar w:fldCharType="begin"/>
            </w:r>
            <w:r>
              <w:rPr>
                <w:noProof/>
                <w:webHidden/>
              </w:rPr>
              <w:instrText xml:space="preserve"> PAGEREF _Toc212824086 \h </w:instrText>
            </w:r>
            <w:r>
              <w:rPr>
                <w:noProof/>
                <w:webHidden/>
              </w:rPr>
            </w:r>
            <w:r>
              <w:rPr>
                <w:noProof/>
                <w:webHidden/>
              </w:rPr>
              <w:fldChar w:fldCharType="separate"/>
            </w:r>
            <w:r w:rsidR="003A2367">
              <w:rPr>
                <w:noProof/>
                <w:webHidden/>
              </w:rPr>
              <w:t>7</w:t>
            </w:r>
            <w:r>
              <w:rPr>
                <w:noProof/>
                <w:webHidden/>
              </w:rPr>
              <w:fldChar w:fldCharType="end"/>
            </w:r>
          </w:hyperlink>
        </w:p>
        <w:p w14:paraId="07A2AF0E" w14:textId="46BD35E1" w:rsidR="00466419" w:rsidRPr="00466419" w:rsidRDefault="00466419" w:rsidP="00466419">
          <w:r>
            <w:rPr>
              <w:b/>
              <w:bCs/>
            </w:rPr>
            <w:fldChar w:fldCharType="end"/>
          </w:r>
        </w:p>
      </w:sdtContent>
    </w:sdt>
    <w:p w14:paraId="4F1E9FB9" w14:textId="77777777" w:rsidR="003F3144" w:rsidRDefault="003F3144" w:rsidP="003F3144">
      <w:pPr>
        <w:spacing w:before="240" w:after="120" w:line="276" w:lineRule="auto"/>
        <w:rPr>
          <w:color w:val="FF0000"/>
        </w:rPr>
      </w:pPr>
    </w:p>
    <w:p w14:paraId="4666DBB5" w14:textId="17E671A1" w:rsidR="00337F8C" w:rsidRDefault="00337F8C" w:rsidP="00337F8C">
      <w:pPr>
        <w:pStyle w:val="Heading2"/>
      </w:pPr>
      <w:bookmarkStart w:id="1" w:name="_Toc212824075"/>
      <w:r>
        <w:t>Files included</w:t>
      </w:r>
      <w:bookmarkEnd w:id="1"/>
    </w:p>
    <w:p w14:paraId="277904C7" w14:textId="08F031DB" w:rsidR="00337F8C" w:rsidRDefault="00874384" w:rsidP="00337F8C">
      <w:r>
        <w:t>E</w:t>
      </w:r>
      <w:r w:rsidR="00932A65">
        <w:t>ight data files</w:t>
      </w:r>
      <w:r>
        <w:t xml:space="preserve"> are included</w:t>
      </w:r>
      <w:r w:rsidR="00932A65">
        <w:t>. The</w:t>
      </w:r>
      <w:r w:rsidR="001A36C3">
        <w:t xml:space="preserve"> </w:t>
      </w:r>
      <w:r w:rsidR="00F6274B">
        <w:t xml:space="preserve">additional supporting document </w:t>
      </w:r>
      <w:r w:rsidR="006F2238">
        <w:t>include</w:t>
      </w:r>
      <w:r w:rsidR="00F6274B">
        <w:t>s</w:t>
      </w:r>
      <w:r w:rsidR="006F2238">
        <w:t xml:space="preserve"> variable descriptions</w:t>
      </w:r>
      <w:r w:rsidR="0088444D">
        <w:t>, units and other details.</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5388"/>
      </w:tblGrid>
      <w:tr w:rsidR="00337F8C" w:rsidRPr="00337F8C" w14:paraId="11603834" w14:textId="19DA4D74" w:rsidTr="00DD4A80">
        <w:trPr>
          <w:trHeight w:val="290"/>
        </w:trPr>
        <w:tc>
          <w:tcPr>
            <w:tcW w:w="2976" w:type="dxa"/>
            <w:shd w:val="clear" w:color="auto" w:fill="auto"/>
            <w:noWrap/>
            <w:vAlign w:val="bottom"/>
            <w:hideMark/>
          </w:tcPr>
          <w:p w14:paraId="6930D4CA" w14:textId="48A34E07" w:rsidR="00337F8C" w:rsidRPr="00337F8C" w:rsidRDefault="00337F8C" w:rsidP="00337F8C">
            <w:pPr>
              <w:spacing w:after="0" w:line="240" w:lineRule="auto"/>
              <w:rPr>
                <w:rFonts w:ascii="Aptos Narrow" w:eastAsia="Times New Roman" w:hAnsi="Aptos Narrow" w:cs="Times New Roman"/>
                <w:b/>
                <w:bCs/>
                <w:color w:val="000000"/>
                <w:kern w:val="0"/>
                <w:lang w:eastAsia="en-GB"/>
                <w14:ligatures w14:val="none"/>
              </w:rPr>
            </w:pPr>
            <w:r w:rsidRPr="00DD4A80">
              <w:rPr>
                <w:rFonts w:ascii="Aptos Narrow" w:eastAsia="Times New Roman" w:hAnsi="Aptos Narrow" w:cs="Times New Roman"/>
                <w:b/>
                <w:bCs/>
                <w:color w:val="000000"/>
                <w:kern w:val="0"/>
                <w:lang w:eastAsia="en-GB"/>
                <w14:ligatures w14:val="none"/>
              </w:rPr>
              <w:t>File names</w:t>
            </w:r>
          </w:p>
        </w:tc>
        <w:tc>
          <w:tcPr>
            <w:tcW w:w="5388" w:type="dxa"/>
          </w:tcPr>
          <w:p w14:paraId="66DA28B0" w14:textId="2FEFF5B7" w:rsidR="00337F8C" w:rsidRPr="00DD4A80" w:rsidRDefault="00337F8C" w:rsidP="00337F8C">
            <w:pPr>
              <w:spacing w:after="0" w:line="240" w:lineRule="auto"/>
              <w:rPr>
                <w:rFonts w:ascii="Aptos Narrow" w:eastAsia="Times New Roman" w:hAnsi="Aptos Narrow" w:cs="Times New Roman"/>
                <w:b/>
                <w:bCs/>
                <w:color w:val="000000"/>
                <w:kern w:val="0"/>
                <w:lang w:eastAsia="en-GB"/>
                <w14:ligatures w14:val="none"/>
              </w:rPr>
            </w:pPr>
            <w:r w:rsidRPr="00DD4A80">
              <w:rPr>
                <w:rFonts w:ascii="Aptos Narrow" w:eastAsia="Times New Roman" w:hAnsi="Aptos Narrow" w:cs="Times New Roman"/>
                <w:b/>
                <w:bCs/>
                <w:color w:val="000000"/>
                <w:kern w:val="0"/>
                <w:lang w:eastAsia="en-GB"/>
                <w14:ligatures w14:val="none"/>
              </w:rPr>
              <w:t>Description</w:t>
            </w:r>
          </w:p>
        </w:tc>
      </w:tr>
      <w:tr w:rsidR="00337F8C" w:rsidRPr="00337F8C" w14:paraId="18052C7E" w14:textId="5A57E810" w:rsidTr="00DD4A80">
        <w:trPr>
          <w:trHeight w:val="290"/>
        </w:trPr>
        <w:tc>
          <w:tcPr>
            <w:tcW w:w="2976" w:type="dxa"/>
            <w:shd w:val="clear" w:color="auto" w:fill="auto"/>
            <w:noWrap/>
            <w:vAlign w:val="bottom"/>
            <w:hideMark/>
          </w:tcPr>
          <w:p w14:paraId="75DC1B03" w14:textId="77777777" w:rsidR="00337F8C" w:rsidRPr="00337F8C" w:rsidRDefault="00337F8C" w:rsidP="001A36C3">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cover_diversity.csv</w:t>
            </w:r>
          </w:p>
        </w:tc>
        <w:tc>
          <w:tcPr>
            <w:tcW w:w="5388" w:type="dxa"/>
          </w:tcPr>
          <w:p w14:paraId="796E9EE0" w14:textId="5CEA52D8" w:rsidR="00337F8C" w:rsidRPr="00337F8C" w:rsidRDefault="005E103D" w:rsidP="001A36C3">
            <w:pPr>
              <w:spacing w:after="0" w:line="240" w:lineRule="auto"/>
              <w:rPr>
                <w:rFonts w:ascii="Aptos Narrow" w:eastAsia="Times New Roman" w:hAnsi="Aptos Narrow" w:cs="Times New Roman"/>
                <w:color w:val="000000"/>
                <w:kern w:val="0"/>
                <w:lang w:eastAsia="en-GB"/>
                <w14:ligatures w14:val="none"/>
              </w:rPr>
            </w:pPr>
            <w:r>
              <w:rPr>
                <w:rFonts w:ascii="Aptos Narrow" w:eastAsia="Times New Roman" w:hAnsi="Aptos Narrow" w:cs="Times New Roman"/>
                <w:color w:val="000000"/>
                <w:kern w:val="0"/>
                <w:lang w:eastAsia="en-GB"/>
                <w14:ligatures w14:val="none"/>
              </w:rPr>
              <w:t>Derived measures from species_composition.csv. Including percentage cover of vegetation, litter and bare ground. Shannon diversity index for each quadrat</w:t>
            </w:r>
          </w:p>
        </w:tc>
      </w:tr>
      <w:tr w:rsidR="00337F8C" w:rsidRPr="00337F8C" w14:paraId="169404A0" w14:textId="305E78B9" w:rsidTr="00DD4A80">
        <w:trPr>
          <w:trHeight w:val="290"/>
        </w:trPr>
        <w:tc>
          <w:tcPr>
            <w:tcW w:w="2976" w:type="dxa"/>
            <w:shd w:val="clear" w:color="auto" w:fill="auto"/>
            <w:noWrap/>
            <w:vAlign w:val="bottom"/>
            <w:hideMark/>
          </w:tcPr>
          <w:p w14:paraId="44A55AAA" w14:textId="77777777" w:rsidR="00337F8C" w:rsidRPr="00337F8C" w:rsidRDefault="00337F8C" w:rsidP="001A36C3">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denitrification.csv</w:t>
            </w:r>
          </w:p>
        </w:tc>
        <w:tc>
          <w:tcPr>
            <w:tcW w:w="5388" w:type="dxa"/>
          </w:tcPr>
          <w:p w14:paraId="334A0B6D" w14:textId="0DCD86A5" w:rsidR="00337F8C" w:rsidRPr="00337F8C" w:rsidRDefault="005E103D" w:rsidP="001A36C3">
            <w:pPr>
              <w:spacing w:after="0" w:line="240" w:lineRule="auto"/>
              <w:rPr>
                <w:rFonts w:ascii="Aptos Narrow" w:eastAsia="Times New Roman" w:hAnsi="Aptos Narrow" w:cs="Times New Roman"/>
                <w:color w:val="000000"/>
                <w:kern w:val="0"/>
                <w:lang w:eastAsia="en-GB"/>
                <w14:ligatures w14:val="none"/>
              </w:rPr>
            </w:pPr>
            <w:r>
              <w:rPr>
                <w:rFonts w:ascii="Aptos Narrow" w:eastAsia="Times New Roman" w:hAnsi="Aptos Narrow" w:cs="Times New Roman"/>
                <w:color w:val="000000"/>
                <w:kern w:val="0"/>
                <w:lang w:eastAsia="en-GB"/>
                <w14:ligatures w14:val="none"/>
              </w:rPr>
              <w:t>Denitrification rate measurements and associated data</w:t>
            </w:r>
          </w:p>
        </w:tc>
      </w:tr>
      <w:tr w:rsidR="00337F8C" w:rsidRPr="00337F8C" w14:paraId="3943222E" w14:textId="63593D44" w:rsidTr="00DD4A80">
        <w:trPr>
          <w:trHeight w:val="290"/>
        </w:trPr>
        <w:tc>
          <w:tcPr>
            <w:tcW w:w="2976" w:type="dxa"/>
            <w:shd w:val="clear" w:color="auto" w:fill="auto"/>
            <w:noWrap/>
            <w:vAlign w:val="bottom"/>
            <w:hideMark/>
          </w:tcPr>
          <w:p w14:paraId="724E19DD" w14:textId="77777777" w:rsidR="00337F8C" w:rsidRPr="00337F8C" w:rsidRDefault="00337F8C" w:rsidP="001A36C3">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loi.csv</w:t>
            </w:r>
          </w:p>
        </w:tc>
        <w:tc>
          <w:tcPr>
            <w:tcW w:w="5388" w:type="dxa"/>
          </w:tcPr>
          <w:p w14:paraId="719041ED" w14:textId="6F586FDC" w:rsidR="00337F8C" w:rsidRPr="00337F8C" w:rsidRDefault="005E103D" w:rsidP="001A36C3">
            <w:pPr>
              <w:spacing w:after="0" w:line="240" w:lineRule="auto"/>
              <w:rPr>
                <w:rFonts w:ascii="Aptos Narrow" w:eastAsia="Times New Roman" w:hAnsi="Aptos Narrow" w:cs="Times New Roman"/>
                <w:color w:val="000000"/>
                <w:kern w:val="0"/>
                <w:lang w:eastAsia="en-GB"/>
                <w14:ligatures w14:val="none"/>
              </w:rPr>
            </w:pPr>
            <w:r>
              <w:rPr>
                <w:rFonts w:ascii="Aptos Narrow" w:eastAsia="Times New Roman" w:hAnsi="Aptos Narrow" w:cs="Times New Roman"/>
                <w:color w:val="000000"/>
                <w:kern w:val="0"/>
                <w:lang w:eastAsia="en-GB"/>
                <w14:ligatures w14:val="none"/>
              </w:rPr>
              <w:t>Loss-on-ignition and bulk density measures</w:t>
            </w:r>
          </w:p>
        </w:tc>
      </w:tr>
      <w:tr w:rsidR="00337F8C" w:rsidRPr="00337F8C" w14:paraId="29703BC6" w14:textId="2F15BBFD" w:rsidTr="00DD4A80">
        <w:trPr>
          <w:trHeight w:val="290"/>
        </w:trPr>
        <w:tc>
          <w:tcPr>
            <w:tcW w:w="2976" w:type="dxa"/>
            <w:shd w:val="clear" w:color="auto" w:fill="auto"/>
            <w:noWrap/>
            <w:vAlign w:val="bottom"/>
            <w:hideMark/>
          </w:tcPr>
          <w:p w14:paraId="22120C57" w14:textId="77777777" w:rsidR="00337F8C" w:rsidRPr="00337F8C" w:rsidRDefault="00337F8C" w:rsidP="001A36C3">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plant_height.csv</w:t>
            </w:r>
          </w:p>
        </w:tc>
        <w:tc>
          <w:tcPr>
            <w:tcW w:w="5388" w:type="dxa"/>
          </w:tcPr>
          <w:p w14:paraId="6FD9AACE" w14:textId="18B3947C" w:rsidR="00337F8C" w:rsidRPr="005E103D" w:rsidRDefault="005E103D" w:rsidP="001A36C3">
            <w:pPr>
              <w:spacing w:line="240" w:lineRule="auto"/>
              <w:rPr>
                <w:rFonts w:ascii="Calibri" w:hAnsi="Calibri" w:cs="Calibri"/>
                <w:color w:val="000000"/>
              </w:rPr>
            </w:pPr>
            <w:r>
              <w:rPr>
                <w:rFonts w:ascii="Calibri" w:hAnsi="Calibri" w:cs="Calibri"/>
                <w:color w:val="000000"/>
              </w:rPr>
              <w:t xml:space="preserve">Plant height. Measured from those species with cover </w:t>
            </w:r>
            <w:r>
              <w:rPr>
                <w:rFonts w:ascii="Calibri" w:hAnsi="Calibri" w:cs="Calibri"/>
                <w:color w:val="000000"/>
                <w:u w:val="single"/>
              </w:rPr>
              <w:t>&gt;=</w:t>
            </w:r>
            <w:r>
              <w:rPr>
                <w:rFonts w:ascii="Calibri" w:hAnsi="Calibri" w:cs="Calibri"/>
                <w:color w:val="000000"/>
              </w:rPr>
              <w:t xml:space="preserve"> 15 % per quadrat. Five vegetative shoots per species above cover threshold</w:t>
            </w:r>
          </w:p>
        </w:tc>
      </w:tr>
      <w:tr w:rsidR="001A36C3" w:rsidRPr="00337F8C" w14:paraId="584A2EE4" w14:textId="0C7A8F22" w:rsidTr="00DD4A80">
        <w:trPr>
          <w:trHeight w:val="290"/>
        </w:trPr>
        <w:tc>
          <w:tcPr>
            <w:tcW w:w="2976" w:type="dxa"/>
            <w:shd w:val="clear" w:color="auto" w:fill="auto"/>
            <w:noWrap/>
            <w:vAlign w:val="bottom"/>
            <w:hideMark/>
          </w:tcPr>
          <w:p w14:paraId="326142BE" w14:textId="7E61892F" w:rsidR="001A36C3" w:rsidRPr="00337F8C" w:rsidRDefault="001A36C3" w:rsidP="001A36C3">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porewater.csv</w:t>
            </w:r>
          </w:p>
        </w:tc>
        <w:tc>
          <w:tcPr>
            <w:tcW w:w="5388" w:type="dxa"/>
          </w:tcPr>
          <w:p w14:paraId="54D1CD36" w14:textId="5CC6DC0A" w:rsidR="001A36C3" w:rsidRPr="00337F8C" w:rsidRDefault="001A36C3" w:rsidP="001A36C3">
            <w:pPr>
              <w:spacing w:after="0" w:line="240" w:lineRule="auto"/>
              <w:rPr>
                <w:rFonts w:ascii="Aptos Narrow" w:eastAsia="Times New Roman" w:hAnsi="Aptos Narrow" w:cs="Times New Roman"/>
                <w:color w:val="000000"/>
                <w:kern w:val="0"/>
                <w:lang w:eastAsia="en-GB"/>
                <w14:ligatures w14:val="none"/>
              </w:rPr>
            </w:pPr>
            <w:r w:rsidRPr="005E103D">
              <w:rPr>
                <w:rFonts w:ascii="Aptos Narrow" w:eastAsia="Times New Roman" w:hAnsi="Aptos Narrow" w:cs="Times New Roman"/>
                <w:color w:val="000000"/>
                <w:kern w:val="0"/>
                <w:lang w:eastAsia="en-GB"/>
                <w14:ligatures w14:val="none"/>
              </w:rPr>
              <w:t>Nutrient contents in soil porewater. Only measured in quadrats from 1 to 4 in each season, marsh and vegetation zone.</w:t>
            </w:r>
          </w:p>
        </w:tc>
      </w:tr>
      <w:tr w:rsidR="001A36C3" w:rsidRPr="00337F8C" w14:paraId="2A9712D0" w14:textId="0FBA83DC" w:rsidTr="00DD4A80">
        <w:trPr>
          <w:trHeight w:val="290"/>
        </w:trPr>
        <w:tc>
          <w:tcPr>
            <w:tcW w:w="2976" w:type="dxa"/>
            <w:shd w:val="clear" w:color="auto" w:fill="auto"/>
            <w:noWrap/>
            <w:vAlign w:val="bottom"/>
            <w:hideMark/>
          </w:tcPr>
          <w:p w14:paraId="5EC79B20" w14:textId="142A56A9" w:rsidR="001A36C3" w:rsidRPr="00337F8C" w:rsidRDefault="001A36C3" w:rsidP="001A36C3">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quadrat.csv</w:t>
            </w:r>
          </w:p>
        </w:tc>
        <w:tc>
          <w:tcPr>
            <w:tcW w:w="5388" w:type="dxa"/>
          </w:tcPr>
          <w:p w14:paraId="01615057" w14:textId="5DB4EFA6" w:rsidR="001A36C3" w:rsidRPr="00337F8C" w:rsidRDefault="001A36C3" w:rsidP="001A36C3">
            <w:pPr>
              <w:spacing w:after="0" w:line="240" w:lineRule="auto"/>
              <w:rPr>
                <w:rFonts w:ascii="Aptos Narrow" w:eastAsia="Times New Roman" w:hAnsi="Aptos Narrow" w:cs="Times New Roman"/>
                <w:color w:val="000000"/>
                <w:kern w:val="0"/>
                <w:lang w:eastAsia="en-GB"/>
                <w14:ligatures w14:val="none"/>
              </w:rPr>
            </w:pPr>
            <w:r>
              <w:rPr>
                <w:rFonts w:ascii="Calibri" w:hAnsi="Calibri" w:cs="Calibri"/>
                <w:color w:val="000000"/>
              </w:rPr>
              <w:t xml:space="preserve">Information from 6 quadrats taken per zone, saltmarsh and sampling event. </w:t>
            </w:r>
          </w:p>
        </w:tc>
      </w:tr>
      <w:tr w:rsidR="001A36C3" w:rsidRPr="00337F8C" w14:paraId="70EDDFB1" w14:textId="407788CF" w:rsidTr="00DD4A80">
        <w:trPr>
          <w:trHeight w:val="290"/>
        </w:trPr>
        <w:tc>
          <w:tcPr>
            <w:tcW w:w="2976" w:type="dxa"/>
            <w:shd w:val="clear" w:color="auto" w:fill="auto"/>
            <w:noWrap/>
            <w:vAlign w:val="bottom"/>
            <w:hideMark/>
          </w:tcPr>
          <w:p w14:paraId="1205507F" w14:textId="3B921A5E" w:rsidR="001A36C3" w:rsidRPr="00337F8C" w:rsidRDefault="001A36C3" w:rsidP="001A36C3">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seawater.csv</w:t>
            </w:r>
          </w:p>
        </w:tc>
        <w:tc>
          <w:tcPr>
            <w:tcW w:w="5388" w:type="dxa"/>
          </w:tcPr>
          <w:p w14:paraId="44C844B7" w14:textId="7941BC67" w:rsidR="001A36C3" w:rsidRPr="005E103D" w:rsidRDefault="001A36C3" w:rsidP="001A36C3">
            <w:pPr>
              <w:spacing w:line="240" w:lineRule="auto"/>
              <w:rPr>
                <w:rFonts w:ascii="Calibri" w:hAnsi="Calibri" w:cs="Calibri"/>
                <w:color w:val="000000"/>
              </w:rPr>
            </w:pPr>
            <w:r>
              <w:rPr>
                <w:rFonts w:ascii="Calibri" w:hAnsi="Calibri" w:cs="Calibri"/>
                <w:color w:val="000000"/>
              </w:rPr>
              <w:t>Nutrient contents in seawater. From one sample of seawater per saltmarsh and season.</w:t>
            </w:r>
          </w:p>
        </w:tc>
      </w:tr>
      <w:tr w:rsidR="001A36C3" w:rsidRPr="00337F8C" w14:paraId="259CECAD" w14:textId="4496B882" w:rsidTr="00DD4A80">
        <w:trPr>
          <w:trHeight w:val="290"/>
        </w:trPr>
        <w:tc>
          <w:tcPr>
            <w:tcW w:w="2976" w:type="dxa"/>
            <w:shd w:val="clear" w:color="auto" w:fill="auto"/>
            <w:noWrap/>
            <w:vAlign w:val="bottom"/>
            <w:hideMark/>
          </w:tcPr>
          <w:p w14:paraId="0CAEB686" w14:textId="449848BC" w:rsidR="001A36C3" w:rsidRPr="00337F8C" w:rsidRDefault="001A36C3" w:rsidP="001A36C3">
            <w:pPr>
              <w:spacing w:after="0" w:line="240" w:lineRule="auto"/>
              <w:rPr>
                <w:rFonts w:ascii="Aptos Narrow" w:eastAsia="Times New Roman" w:hAnsi="Aptos Narrow" w:cs="Times New Roman"/>
                <w:color w:val="000000"/>
                <w:kern w:val="0"/>
                <w:lang w:eastAsia="en-GB"/>
                <w14:ligatures w14:val="none"/>
              </w:rPr>
            </w:pPr>
            <w:r w:rsidRPr="00337F8C">
              <w:rPr>
                <w:rFonts w:ascii="Aptos Narrow" w:eastAsia="Times New Roman" w:hAnsi="Aptos Narrow" w:cs="Times New Roman"/>
                <w:color w:val="000000"/>
                <w:kern w:val="0"/>
                <w:lang w:eastAsia="en-GB"/>
                <w14:ligatures w14:val="none"/>
              </w:rPr>
              <w:t>species_composition.csv</w:t>
            </w:r>
          </w:p>
        </w:tc>
        <w:tc>
          <w:tcPr>
            <w:tcW w:w="5388" w:type="dxa"/>
          </w:tcPr>
          <w:p w14:paraId="65313F6C" w14:textId="115812E8" w:rsidR="001A36C3" w:rsidRPr="005E103D" w:rsidRDefault="001A36C3" w:rsidP="001A36C3">
            <w:pPr>
              <w:spacing w:line="240" w:lineRule="auto"/>
              <w:rPr>
                <w:rFonts w:ascii="Calibri" w:hAnsi="Calibri" w:cs="Calibri"/>
                <w:color w:val="000000"/>
              </w:rPr>
            </w:pPr>
            <w:r>
              <w:rPr>
                <w:rFonts w:ascii="Calibri" w:hAnsi="Calibri" w:cs="Calibri"/>
                <w:color w:val="000000"/>
              </w:rPr>
              <w:t xml:space="preserve">Percentage ground cover by plant genus </w:t>
            </w:r>
          </w:p>
        </w:tc>
      </w:tr>
    </w:tbl>
    <w:p w14:paraId="1EC82469" w14:textId="77777777" w:rsidR="00337F8C" w:rsidRDefault="00337F8C" w:rsidP="00337F8C"/>
    <w:p w14:paraId="5C87349E" w14:textId="278A8AA7" w:rsidR="00E46942" w:rsidRPr="00337F8C" w:rsidRDefault="00874384" w:rsidP="00874384">
      <w:pPr>
        <w:pStyle w:val="Heading2"/>
      </w:pPr>
      <w:bookmarkStart w:id="2" w:name="_Toc212824076"/>
      <w:r>
        <w:lastRenderedPageBreak/>
        <w:t xml:space="preserve">Spatial </w:t>
      </w:r>
      <w:r w:rsidR="005E0DA7">
        <w:t xml:space="preserve">and temporal </w:t>
      </w:r>
      <w:r>
        <w:t>coverage</w:t>
      </w:r>
      <w:bookmarkEnd w:id="2"/>
    </w:p>
    <w:p w14:paraId="1EF6B9A7" w14:textId="2ACCCD0C" w:rsidR="003F3144" w:rsidRDefault="00874384" w:rsidP="00874384">
      <w:pPr>
        <w:pStyle w:val="NoSpacing"/>
      </w:pPr>
      <w:r>
        <w:t xml:space="preserve">The samples </w:t>
      </w:r>
      <w:r w:rsidR="00E30FA0">
        <w:t>were</w:t>
      </w:r>
      <w:r w:rsidR="00AD6D19">
        <w:t xml:space="preserve"> taken from two salt marshes: Old Hall</w:t>
      </w:r>
      <w:r w:rsidR="00B11ABC">
        <w:t xml:space="preserve"> (</w:t>
      </w:r>
      <w:r w:rsidR="004B5574" w:rsidRPr="004B5574">
        <w:t>0.839331</w:t>
      </w:r>
      <w:r w:rsidR="004B5574">
        <w:t xml:space="preserve">° </w:t>
      </w:r>
      <w:r w:rsidR="00395EE2">
        <w:t>E</w:t>
      </w:r>
      <w:r w:rsidR="004B5574">
        <w:t xml:space="preserve">, </w:t>
      </w:r>
      <w:r w:rsidR="00A52C85" w:rsidRPr="00A52C85">
        <w:t>51.772728</w:t>
      </w:r>
      <w:r w:rsidR="00A52C85">
        <w:t xml:space="preserve">° N; </w:t>
      </w:r>
      <w:r w:rsidR="00FD7D56" w:rsidRPr="00FD7D56">
        <w:t>0.842285</w:t>
      </w:r>
      <w:r w:rsidR="00FD7D56">
        <w:t>°</w:t>
      </w:r>
      <w:r w:rsidR="00395EE2">
        <w:t xml:space="preserve"> E</w:t>
      </w:r>
      <w:r w:rsidR="00FD7D56">
        <w:t xml:space="preserve">, </w:t>
      </w:r>
      <w:r w:rsidR="00111F4B" w:rsidRPr="00111F4B">
        <w:t>51.773969</w:t>
      </w:r>
      <w:r w:rsidR="00111F4B">
        <w:t>°</w:t>
      </w:r>
      <w:r w:rsidR="00395EE2">
        <w:t xml:space="preserve"> </w:t>
      </w:r>
      <w:r w:rsidR="00111F4B">
        <w:t>N</w:t>
      </w:r>
      <w:r w:rsidR="00B11ABC">
        <w:t>)</w:t>
      </w:r>
      <w:r w:rsidR="00AD6D19">
        <w:t xml:space="preserve"> and Warton Bank</w:t>
      </w:r>
      <w:r w:rsidR="005E0DA7">
        <w:t xml:space="preserve"> </w:t>
      </w:r>
      <w:r w:rsidR="00E33CC5">
        <w:t>(</w:t>
      </w:r>
      <w:r w:rsidR="00E33CC5" w:rsidRPr="00FD5058">
        <w:t>-2.937294</w:t>
      </w:r>
      <w:r w:rsidR="00E33CC5">
        <w:t xml:space="preserve">° </w:t>
      </w:r>
      <w:r w:rsidR="00395EE2">
        <w:t>O</w:t>
      </w:r>
      <w:r w:rsidR="00E33CC5">
        <w:t xml:space="preserve">, </w:t>
      </w:r>
      <w:r w:rsidR="00E33CC5" w:rsidRPr="0052388A">
        <w:t>53.730944</w:t>
      </w:r>
      <w:r w:rsidR="00E33CC5">
        <w:t xml:space="preserve">° N; </w:t>
      </w:r>
      <w:r w:rsidR="00E33CC5" w:rsidRPr="000D31C5">
        <w:t>-2.917497</w:t>
      </w:r>
      <w:r w:rsidR="00E33CC5">
        <w:t>°</w:t>
      </w:r>
      <w:r w:rsidR="00395EE2">
        <w:t xml:space="preserve"> O</w:t>
      </w:r>
      <w:r w:rsidR="00E33CC5">
        <w:t xml:space="preserve">, </w:t>
      </w:r>
      <w:r w:rsidR="00E33CC5" w:rsidRPr="003C5BA3">
        <w:t>53.737175</w:t>
      </w:r>
      <w:r w:rsidR="00E33CC5">
        <w:t>°N)</w:t>
      </w:r>
      <w:r w:rsidR="00710890">
        <w:t xml:space="preserve">. </w:t>
      </w:r>
    </w:p>
    <w:p w14:paraId="32C63536" w14:textId="3C033595" w:rsidR="00710890" w:rsidRDefault="003E472E" w:rsidP="00874384">
      <w:pPr>
        <w:pStyle w:val="NoSpacing"/>
      </w:pPr>
      <w:r>
        <w:t xml:space="preserve">The data includes </w:t>
      </w:r>
      <w:r w:rsidR="00A93D62">
        <w:t>five</w:t>
      </w:r>
      <w:r w:rsidR="00E40116">
        <w:t xml:space="preserve"> sampling events at each site </w:t>
      </w:r>
      <w:r w:rsidR="00E30FA0">
        <w:t xml:space="preserve">between </w:t>
      </w:r>
      <w:r w:rsidR="00A93D62">
        <w:t>18</w:t>
      </w:r>
      <w:r w:rsidR="00A93D62" w:rsidRPr="00A93D62">
        <w:rPr>
          <w:vertAlign w:val="superscript"/>
        </w:rPr>
        <w:t>th</w:t>
      </w:r>
      <w:r w:rsidR="00A93D62">
        <w:t xml:space="preserve"> March  and 16</w:t>
      </w:r>
      <w:r w:rsidR="00A93D62" w:rsidRPr="00DC4749">
        <w:rPr>
          <w:vertAlign w:val="superscript"/>
        </w:rPr>
        <w:t>th</w:t>
      </w:r>
      <w:r w:rsidR="00A93D62">
        <w:t xml:space="preserve"> September 2025</w:t>
      </w:r>
      <w:r w:rsidR="00E40116">
        <w:t>.</w:t>
      </w:r>
      <w:r w:rsidR="00A93D62">
        <w:t xml:space="preserve"> </w:t>
      </w:r>
      <w:r w:rsidR="004E5A83">
        <w:t xml:space="preserve">The four previous visits are included in this </w:t>
      </w:r>
      <w:hyperlink r:id="rId9" w:history="1">
        <w:r w:rsidR="004E5A83" w:rsidRPr="004E5A83">
          <w:rPr>
            <w:rStyle w:val="Hyperlink"/>
          </w:rPr>
          <w:t>data set</w:t>
        </w:r>
      </w:hyperlink>
      <w:r w:rsidR="00AC7CB1">
        <w:t>, and were taken and analysed in the exact same way</w:t>
      </w:r>
      <w:r w:rsidR="004E5A83">
        <w:t xml:space="preserve">.  </w:t>
      </w:r>
    </w:p>
    <w:p w14:paraId="103B886B" w14:textId="3F9B9575" w:rsidR="00F2339D" w:rsidRDefault="00F2339D" w:rsidP="00F2339D">
      <w:pPr>
        <w:pStyle w:val="Caption"/>
      </w:pPr>
    </w:p>
    <w:tbl>
      <w:tblPr>
        <w:tblStyle w:val="PlainTable2"/>
        <w:tblW w:w="0" w:type="auto"/>
        <w:jc w:val="center"/>
        <w:tblLook w:val="04A0" w:firstRow="1" w:lastRow="0" w:firstColumn="1" w:lastColumn="0" w:noHBand="0" w:noVBand="1"/>
      </w:tblPr>
      <w:tblGrid>
        <w:gridCol w:w="2997"/>
        <w:gridCol w:w="2997"/>
        <w:gridCol w:w="3011"/>
      </w:tblGrid>
      <w:tr w:rsidR="00525BC8" w:rsidRPr="00125928" w14:paraId="06D32C75" w14:textId="77777777" w:rsidTr="0014246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97" w:type="dxa"/>
          </w:tcPr>
          <w:p w14:paraId="61F09C90" w14:textId="77777777" w:rsidR="00525BC8" w:rsidRPr="00125928" w:rsidRDefault="00525BC8" w:rsidP="00142461">
            <w:pPr>
              <w:jc w:val="center"/>
            </w:pPr>
            <w:r>
              <w:t>Sample Visit</w:t>
            </w:r>
          </w:p>
        </w:tc>
        <w:tc>
          <w:tcPr>
            <w:tcW w:w="2997" w:type="dxa"/>
          </w:tcPr>
          <w:p w14:paraId="66B31FEB" w14:textId="77777777" w:rsidR="00525BC8" w:rsidRPr="00125928" w:rsidRDefault="00525BC8" w:rsidP="00142461">
            <w:pPr>
              <w:jc w:val="center"/>
              <w:cnfStyle w:val="100000000000" w:firstRow="1" w:lastRow="0" w:firstColumn="0" w:lastColumn="0" w:oddVBand="0" w:evenVBand="0" w:oddHBand="0" w:evenHBand="0" w:firstRowFirstColumn="0" w:firstRowLastColumn="0" w:lastRowFirstColumn="0" w:lastRowLastColumn="0"/>
              <w:rPr>
                <w:b w:val="0"/>
                <w:bCs w:val="0"/>
              </w:rPr>
            </w:pPr>
            <w:r w:rsidRPr="00125928">
              <w:t xml:space="preserve">Warton Bank, </w:t>
            </w:r>
          </w:p>
          <w:p w14:paraId="00DC71E3" w14:textId="77777777" w:rsidR="00525BC8" w:rsidRPr="00125928" w:rsidRDefault="00525BC8" w:rsidP="00142461">
            <w:pPr>
              <w:jc w:val="center"/>
              <w:cnfStyle w:val="100000000000" w:firstRow="1" w:lastRow="0" w:firstColumn="0" w:lastColumn="0" w:oddVBand="0" w:evenVBand="0" w:oddHBand="0" w:evenHBand="0" w:firstRowFirstColumn="0" w:firstRowLastColumn="0" w:lastRowFirstColumn="0" w:lastRowLastColumn="0"/>
            </w:pPr>
            <w:r w:rsidRPr="00125928">
              <w:t>Ribble Estuary</w:t>
            </w:r>
          </w:p>
        </w:tc>
        <w:tc>
          <w:tcPr>
            <w:tcW w:w="3011" w:type="dxa"/>
          </w:tcPr>
          <w:p w14:paraId="2409BA14" w14:textId="77777777" w:rsidR="00525BC8" w:rsidRPr="00125928" w:rsidRDefault="00525BC8" w:rsidP="00142461">
            <w:pPr>
              <w:jc w:val="center"/>
              <w:cnfStyle w:val="100000000000" w:firstRow="1" w:lastRow="0" w:firstColumn="0" w:lastColumn="0" w:oddVBand="0" w:evenVBand="0" w:oddHBand="0" w:evenHBand="0" w:firstRowFirstColumn="0" w:firstRowLastColumn="0" w:lastRowFirstColumn="0" w:lastRowLastColumn="0"/>
              <w:rPr>
                <w:b w:val="0"/>
                <w:bCs w:val="0"/>
              </w:rPr>
            </w:pPr>
            <w:r w:rsidRPr="00125928">
              <w:t xml:space="preserve">Old Hall, </w:t>
            </w:r>
          </w:p>
          <w:p w14:paraId="243455FA" w14:textId="77777777" w:rsidR="00525BC8" w:rsidRPr="00125928" w:rsidRDefault="00525BC8" w:rsidP="00142461">
            <w:pPr>
              <w:jc w:val="center"/>
              <w:cnfStyle w:val="100000000000" w:firstRow="1" w:lastRow="0" w:firstColumn="0" w:lastColumn="0" w:oddVBand="0" w:evenVBand="0" w:oddHBand="0" w:evenHBand="0" w:firstRowFirstColumn="0" w:firstRowLastColumn="0" w:lastRowFirstColumn="0" w:lastRowLastColumn="0"/>
            </w:pPr>
            <w:r w:rsidRPr="00125928">
              <w:t>Blackwater Estuary</w:t>
            </w:r>
          </w:p>
        </w:tc>
      </w:tr>
      <w:tr w:rsidR="00525BC8" w:rsidRPr="00125928" w14:paraId="4EC98297" w14:textId="77777777" w:rsidTr="0014246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97" w:type="dxa"/>
          </w:tcPr>
          <w:p w14:paraId="711313F0" w14:textId="77777777" w:rsidR="00525BC8" w:rsidRPr="002E6143" w:rsidRDefault="00525BC8" w:rsidP="00142461">
            <w:pPr>
              <w:jc w:val="center"/>
              <w:rPr>
                <w:b w:val="0"/>
                <w:bCs w:val="0"/>
              </w:rPr>
            </w:pPr>
            <w:r w:rsidRPr="002E6143">
              <w:rPr>
                <w:b w:val="0"/>
                <w:bCs w:val="0"/>
              </w:rPr>
              <w:t>5</w:t>
            </w:r>
          </w:p>
        </w:tc>
        <w:tc>
          <w:tcPr>
            <w:tcW w:w="2997" w:type="dxa"/>
          </w:tcPr>
          <w:p w14:paraId="03F0C212" w14:textId="77777777" w:rsidR="00525BC8" w:rsidRPr="009D7CD9" w:rsidRDefault="00525BC8" w:rsidP="00142461">
            <w:pPr>
              <w:jc w:val="center"/>
              <w:cnfStyle w:val="000000100000" w:firstRow="0" w:lastRow="0" w:firstColumn="0" w:lastColumn="0" w:oddVBand="0" w:evenVBand="0" w:oddHBand="1" w:evenHBand="0" w:firstRowFirstColumn="0" w:firstRowLastColumn="0" w:lastRowFirstColumn="0" w:lastRowLastColumn="0"/>
            </w:pPr>
            <w:r w:rsidRPr="009D7CD9">
              <w:t>18</w:t>
            </w:r>
            <w:r w:rsidRPr="009D7CD9">
              <w:rPr>
                <w:vertAlign w:val="superscript"/>
              </w:rPr>
              <w:t>th</w:t>
            </w:r>
            <w:r w:rsidRPr="009D7CD9">
              <w:t xml:space="preserve"> March 2025</w:t>
            </w:r>
          </w:p>
        </w:tc>
        <w:tc>
          <w:tcPr>
            <w:tcW w:w="3011" w:type="dxa"/>
          </w:tcPr>
          <w:p w14:paraId="4651E4F6" w14:textId="77777777" w:rsidR="00525BC8" w:rsidRPr="001E437D" w:rsidRDefault="00525BC8" w:rsidP="00142461">
            <w:pPr>
              <w:jc w:val="center"/>
              <w:cnfStyle w:val="000000100000" w:firstRow="0" w:lastRow="0" w:firstColumn="0" w:lastColumn="0" w:oddVBand="0" w:evenVBand="0" w:oddHBand="1" w:evenHBand="0" w:firstRowFirstColumn="0" w:firstRowLastColumn="0" w:lastRowFirstColumn="0" w:lastRowLastColumn="0"/>
            </w:pPr>
            <w:r w:rsidRPr="001E437D">
              <w:t>3</w:t>
            </w:r>
            <w:r w:rsidRPr="001E437D">
              <w:rPr>
                <w:vertAlign w:val="superscript"/>
              </w:rPr>
              <w:t>rd</w:t>
            </w:r>
            <w:r w:rsidRPr="001E437D">
              <w:t xml:space="preserve"> April 2025</w:t>
            </w:r>
          </w:p>
        </w:tc>
      </w:tr>
      <w:tr w:rsidR="00525BC8" w:rsidRPr="00125928" w14:paraId="08C08889" w14:textId="77777777" w:rsidTr="00142461">
        <w:trPr>
          <w:jc w:val="center"/>
        </w:trPr>
        <w:tc>
          <w:tcPr>
            <w:cnfStyle w:val="001000000000" w:firstRow="0" w:lastRow="0" w:firstColumn="1" w:lastColumn="0" w:oddVBand="0" w:evenVBand="0" w:oddHBand="0" w:evenHBand="0" w:firstRowFirstColumn="0" w:firstRowLastColumn="0" w:lastRowFirstColumn="0" w:lastRowLastColumn="0"/>
            <w:tcW w:w="2997" w:type="dxa"/>
          </w:tcPr>
          <w:p w14:paraId="23A3B0CD" w14:textId="77777777" w:rsidR="00525BC8" w:rsidRPr="002E6143" w:rsidRDefault="00525BC8" w:rsidP="00142461">
            <w:pPr>
              <w:jc w:val="center"/>
              <w:rPr>
                <w:b w:val="0"/>
                <w:bCs w:val="0"/>
              </w:rPr>
            </w:pPr>
            <w:r w:rsidRPr="002E6143">
              <w:rPr>
                <w:b w:val="0"/>
                <w:bCs w:val="0"/>
              </w:rPr>
              <w:t>6</w:t>
            </w:r>
          </w:p>
        </w:tc>
        <w:tc>
          <w:tcPr>
            <w:tcW w:w="2997" w:type="dxa"/>
          </w:tcPr>
          <w:p w14:paraId="59C2690F" w14:textId="77777777" w:rsidR="00525BC8" w:rsidRPr="001E437D" w:rsidRDefault="00525BC8" w:rsidP="00142461">
            <w:pPr>
              <w:jc w:val="center"/>
              <w:cnfStyle w:val="000000000000" w:firstRow="0" w:lastRow="0" w:firstColumn="0" w:lastColumn="0" w:oddVBand="0" w:evenVBand="0" w:oddHBand="0" w:evenHBand="0" w:firstRowFirstColumn="0" w:firstRowLastColumn="0" w:lastRowFirstColumn="0" w:lastRowLastColumn="0"/>
              <w:rPr>
                <w:b/>
                <w:bCs/>
              </w:rPr>
            </w:pPr>
            <w:r w:rsidRPr="009D7CD9">
              <w:t>13</w:t>
            </w:r>
            <w:r w:rsidRPr="009D7CD9">
              <w:rPr>
                <w:vertAlign w:val="superscript"/>
              </w:rPr>
              <w:t>th</w:t>
            </w:r>
            <w:r w:rsidRPr="009D7CD9">
              <w:t xml:space="preserve"> and 14</w:t>
            </w:r>
            <w:r w:rsidRPr="009D7CD9">
              <w:rPr>
                <w:vertAlign w:val="superscript"/>
              </w:rPr>
              <w:t>th</w:t>
            </w:r>
            <w:r w:rsidRPr="009D7CD9">
              <w:t xml:space="preserve"> </w:t>
            </w:r>
            <w:r w:rsidRPr="001E437D">
              <w:t>May 2025</w:t>
            </w:r>
          </w:p>
        </w:tc>
        <w:tc>
          <w:tcPr>
            <w:tcW w:w="3011" w:type="dxa"/>
          </w:tcPr>
          <w:p w14:paraId="12455452" w14:textId="77777777" w:rsidR="00525BC8" w:rsidRPr="001E437D" w:rsidRDefault="00525BC8" w:rsidP="00142461">
            <w:pPr>
              <w:jc w:val="center"/>
              <w:cnfStyle w:val="000000000000" w:firstRow="0" w:lastRow="0" w:firstColumn="0" w:lastColumn="0" w:oddVBand="0" w:evenVBand="0" w:oddHBand="0" w:evenHBand="0" w:firstRowFirstColumn="0" w:firstRowLastColumn="0" w:lastRowFirstColumn="0" w:lastRowLastColumn="0"/>
            </w:pPr>
            <w:r w:rsidRPr="001E437D">
              <w:t>20</w:t>
            </w:r>
            <w:r w:rsidRPr="001E437D">
              <w:rPr>
                <w:vertAlign w:val="superscript"/>
              </w:rPr>
              <w:t>th</w:t>
            </w:r>
            <w:r w:rsidRPr="001E437D">
              <w:t xml:space="preserve"> May 2025</w:t>
            </w:r>
          </w:p>
        </w:tc>
      </w:tr>
      <w:tr w:rsidR="00525BC8" w:rsidRPr="00125928" w14:paraId="66F1CE01" w14:textId="77777777" w:rsidTr="0014246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97" w:type="dxa"/>
          </w:tcPr>
          <w:p w14:paraId="5D42B2D4" w14:textId="77777777" w:rsidR="00525BC8" w:rsidRPr="002E6143" w:rsidRDefault="00525BC8" w:rsidP="00142461">
            <w:pPr>
              <w:jc w:val="center"/>
              <w:rPr>
                <w:b w:val="0"/>
                <w:bCs w:val="0"/>
              </w:rPr>
            </w:pPr>
            <w:r w:rsidRPr="002E6143">
              <w:rPr>
                <w:b w:val="0"/>
                <w:bCs w:val="0"/>
              </w:rPr>
              <w:t>7</w:t>
            </w:r>
          </w:p>
        </w:tc>
        <w:tc>
          <w:tcPr>
            <w:tcW w:w="2997" w:type="dxa"/>
          </w:tcPr>
          <w:p w14:paraId="62D35EA8" w14:textId="77777777" w:rsidR="00525BC8" w:rsidRPr="001E437D" w:rsidRDefault="00525BC8" w:rsidP="00142461">
            <w:pPr>
              <w:jc w:val="center"/>
              <w:cnfStyle w:val="000000100000" w:firstRow="0" w:lastRow="0" w:firstColumn="0" w:lastColumn="0" w:oddVBand="0" w:evenVBand="0" w:oddHBand="1" w:evenHBand="0" w:firstRowFirstColumn="0" w:firstRowLastColumn="0" w:lastRowFirstColumn="0" w:lastRowLastColumn="0"/>
              <w:rPr>
                <w:b/>
                <w:bCs/>
              </w:rPr>
            </w:pPr>
            <w:r w:rsidRPr="009D7CD9">
              <w:t>9</w:t>
            </w:r>
            <w:r w:rsidRPr="009D7CD9">
              <w:rPr>
                <w:vertAlign w:val="superscript"/>
              </w:rPr>
              <w:t>th</w:t>
            </w:r>
            <w:r w:rsidRPr="009D7CD9">
              <w:t xml:space="preserve"> </w:t>
            </w:r>
            <w:r w:rsidRPr="001E437D">
              <w:t>June 2025</w:t>
            </w:r>
          </w:p>
        </w:tc>
        <w:tc>
          <w:tcPr>
            <w:tcW w:w="3011" w:type="dxa"/>
          </w:tcPr>
          <w:p w14:paraId="61E34598" w14:textId="77777777" w:rsidR="00525BC8" w:rsidRPr="001E437D" w:rsidRDefault="00525BC8" w:rsidP="00142461">
            <w:pPr>
              <w:jc w:val="center"/>
              <w:cnfStyle w:val="000000100000" w:firstRow="0" w:lastRow="0" w:firstColumn="0" w:lastColumn="0" w:oddVBand="0" w:evenVBand="0" w:oddHBand="1" w:evenHBand="0" w:firstRowFirstColumn="0" w:firstRowLastColumn="0" w:lastRowFirstColumn="0" w:lastRowLastColumn="0"/>
            </w:pPr>
            <w:r w:rsidRPr="001E437D">
              <w:t>1</w:t>
            </w:r>
            <w:r w:rsidRPr="001E437D">
              <w:rPr>
                <w:vertAlign w:val="superscript"/>
              </w:rPr>
              <w:t>st</w:t>
            </w:r>
            <w:r w:rsidRPr="001E437D">
              <w:t xml:space="preserve"> July 2025</w:t>
            </w:r>
          </w:p>
        </w:tc>
      </w:tr>
      <w:tr w:rsidR="00525BC8" w:rsidRPr="00125928" w14:paraId="440482A8" w14:textId="77777777" w:rsidTr="00142461">
        <w:trPr>
          <w:jc w:val="center"/>
        </w:trPr>
        <w:tc>
          <w:tcPr>
            <w:cnfStyle w:val="001000000000" w:firstRow="0" w:lastRow="0" w:firstColumn="1" w:lastColumn="0" w:oddVBand="0" w:evenVBand="0" w:oddHBand="0" w:evenHBand="0" w:firstRowFirstColumn="0" w:firstRowLastColumn="0" w:lastRowFirstColumn="0" w:lastRowLastColumn="0"/>
            <w:tcW w:w="2997" w:type="dxa"/>
          </w:tcPr>
          <w:p w14:paraId="6578EAE1" w14:textId="77777777" w:rsidR="00525BC8" w:rsidRPr="002E6143" w:rsidRDefault="00525BC8" w:rsidP="00142461">
            <w:pPr>
              <w:jc w:val="center"/>
              <w:rPr>
                <w:b w:val="0"/>
                <w:bCs w:val="0"/>
              </w:rPr>
            </w:pPr>
            <w:r w:rsidRPr="002E6143">
              <w:rPr>
                <w:b w:val="0"/>
                <w:bCs w:val="0"/>
              </w:rPr>
              <w:t>8</w:t>
            </w:r>
          </w:p>
        </w:tc>
        <w:tc>
          <w:tcPr>
            <w:tcW w:w="2997" w:type="dxa"/>
          </w:tcPr>
          <w:p w14:paraId="6AD7B6DE" w14:textId="77777777" w:rsidR="00525BC8" w:rsidRPr="001E437D" w:rsidRDefault="00525BC8" w:rsidP="00142461">
            <w:pPr>
              <w:jc w:val="center"/>
              <w:cnfStyle w:val="000000000000" w:firstRow="0" w:lastRow="0" w:firstColumn="0" w:lastColumn="0" w:oddVBand="0" w:evenVBand="0" w:oddHBand="0" w:evenHBand="0" w:firstRowFirstColumn="0" w:firstRowLastColumn="0" w:lastRowFirstColumn="0" w:lastRowLastColumn="0"/>
              <w:rPr>
                <w:b/>
                <w:bCs/>
              </w:rPr>
            </w:pPr>
            <w:r w:rsidRPr="009D7CD9">
              <w:t>14</w:t>
            </w:r>
            <w:r w:rsidRPr="009D7CD9">
              <w:rPr>
                <w:vertAlign w:val="superscript"/>
              </w:rPr>
              <w:t>th</w:t>
            </w:r>
            <w:r w:rsidRPr="001E437D">
              <w:rPr>
                <w:b/>
                <w:bCs/>
              </w:rPr>
              <w:t xml:space="preserve"> </w:t>
            </w:r>
            <w:r w:rsidRPr="001E437D">
              <w:t>July 2025</w:t>
            </w:r>
          </w:p>
        </w:tc>
        <w:tc>
          <w:tcPr>
            <w:tcW w:w="3011" w:type="dxa"/>
          </w:tcPr>
          <w:p w14:paraId="708F4986" w14:textId="77777777" w:rsidR="00525BC8" w:rsidRPr="001E437D" w:rsidRDefault="00525BC8" w:rsidP="00142461">
            <w:pPr>
              <w:jc w:val="center"/>
              <w:cnfStyle w:val="000000000000" w:firstRow="0" w:lastRow="0" w:firstColumn="0" w:lastColumn="0" w:oddVBand="0" w:evenVBand="0" w:oddHBand="0" w:evenHBand="0" w:firstRowFirstColumn="0" w:firstRowLastColumn="0" w:lastRowFirstColumn="0" w:lastRowLastColumn="0"/>
            </w:pPr>
            <w:r w:rsidRPr="001E437D">
              <w:t>29</w:t>
            </w:r>
            <w:r w:rsidRPr="001E437D">
              <w:rPr>
                <w:vertAlign w:val="superscript"/>
              </w:rPr>
              <w:t>th</w:t>
            </w:r>
            <w:r w:rsidRPr="001E437D">
              <w:t xml:space="preserve"> July 2025</w:t>
            </w:r>
          </w:p>
        </w:tc>
      </w:tr>
      <w:tr w:rsidR="00525BC8" w:rsidRPr="00125928" w14:paraId="5BC76205" w14:textId="77777777" w:rsidTr="0014246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97" w:type="dxa"/>
          </w:tcPr>
          <w:p w14:paraId="7C152CF0" w14:textId="77777777" w:rsidR="00525BC8" w:rsidRPr="002E6143" w:rsidRDefault="00525BC8" w:rsidP="00142461">
            <w:pPr>
              <w:jc w:val="center"/>
              <w:rPr>
                <w:b w:val="0"/>
                <w:bCs w:val="0"/>
              </w:rPr>
            </w:pPr>
            <w:r w:rsidRPr="002E6143">
              <w:rPr>
                <w:b w:val="0"/>
                <w:bCs w:val="0"/>
              </w:rPr>
              <w:t>9</w:t>
            </w:r>
          </w:p>
        </w:tc>
        <w:tc>
          <w:tcPr>
            <w:tcW w:w="2997" w:type="dxa"/>
          </w:tcPr>
          <w:p w14:paraId="5369DF15" w14:textId="77777777" w:rsidR="00525BC8" w:rsidRPr="001E437D" w:rsidRDefault="00525BC8" w:rsidP="00142461">
            <w:pPr>
              <w:jc w:val="center"/>
              <w:cnfStyle w:val="000000100000" w:firstRow="0" w:lastRow="0" w:firstColumn="0" w:lastColumn="0" w:oddVBand="0" w:evenVBand="0" w:oddHBand="1" w:evenHBand="0" w:firstRowFirstColumn="0" w:firstRowLastColumn="0" w:lastRowFirstColumn="0" w:lastRowLastColumn="0"/>
              <w:rPr>
                <w:b/>
                <w:bCs/>
              </w:rPr>
            </w:pPr>
            <w:r w:rsidRPr="009D7CD9">
              <w:t>9</w:t>
            </w:r>
            <w:r w:rsidRPr="009D7CD9">
              <w:rPr>
                <w:vertAlign w:val="superscript"/>
              </w:rPr>
              <w:t>th</w:t>
            </w:r>
            <w:r w:rsidRPr="009D7CD9">
              <w:t xml:space="preserve"> and 10</w:t>
            </w:r>
            <w:r w:rsidRPr="009D7CD9">
              <w:rPr>
                <w:vertAlign w:val="superscript"/>
              </w:rPr>
              <w:t>th</w:t>
            </w:r>
            <w:r w:rsidRPr="001E437D">
              <w:rPr>
                <w:b/>
                <w:bCs/>
              </w:rPr>
              <w:t xml:space="preserve"> </w:t>
            </w:r>
            <w:r w:rsidRPr="001E437D">
              <w:t>September 2025</w:t>
            </w:r>
          </w:p>
        </w:tc>
        <w:tc>
          <w:tcPr>
            <w:tcW w:w="3011" w:type="dxa"/>
          </w:tcPr>
          <w:p w14:paraId="1FA0180D" w14:textId="77777777" w:rsidR="00525BC8" w:rsidRPr="001E437D" w:rsidRDefault="00525BC8" w:rsidP="00142461">
            <w:pPr>
              <w:jc w:val="center"/>
              <w:cnfStyle w:val="000000100000" w:firstRow="0" w:lastRow="0" w:firstColumn="0" w:lastColumn="0" w:oddVBand="0" w:evenVBand="0" w:oddHBand="1" w:evenHBand="0" w:firstRowFirstColumn="0" w:firstRowLastColumn="0" w:lastRowFirstColumn="0" w:lastRowLastColumn="0"/>
            </w:pPr>
            <w:r w:rsidRPr="001E437D">
              <w:t>16</w:t>
            </w:r>
            <w:r w:rsidRPr="001E437D">
              <w:rPr>
                <w:vertAlign w:val="superscript"/>
              </w:rPr>
              <w:t>th</w:t>
            </w:r>
            <w:r w:rsidRPr="001E437D">
              <w:t xml:space="preserve"> September 2025</w:t>
            </w:r>
          </w:p>
        </w:tc>
      </w:tr>
    </w:tbl>
    <w:p w14:paraId="4E1B8148" w14:textId="77777777" w:rsidR="00F2339D" w:rsidRDefault="00F2339D" w:rsidP="00874384">
      <w:pPr>
        <w:pStyle w:val="NoSpacing"/>
      </w:pPr>
    </w:p>
    <w:p w14:paraId="1166D0D2" w14:textId="13CC970C" w:rsidR="003F3144" w:rsidRPr="00E30FA0" w:rsidRDefault="00FC05C3" w:rsidP="00FC05C3">
      <w:pPr>
        <w:pStyle w:val="Heading2"/>
      </w:pPr>
      <w:bookmarkStart w:id="3" w:name="_Toc212824077"/>
      <w:r>
        <w:t>Sampling regime and experimental design</w:t>
      </w:r>
      <w:bookmarkEnd w:id="3"/>
    </w:p>
    <w:p w14:paraId="0658CE67" w14:textId="50A2487C" w:rsidR="00103AF4" w:rsidRPr="00DC4749" w:rsidRDefault="002B345D" w:rsidP="00103AF4">
      <w:pPr>
        <w:pStyle w:val="NoSpacing"/>
      </w:pPr>
      <w:r w:rsidRPr="00582673">
        <w:t xml:space="preserve">Two salt marshes were </w:t>
      </w:r>
      <w:r w:rsidR="00F2339D" w:rsidRPr="00582673">
        <w:t xml:space="preserve">sampled </w:t>
      </w:r>
      <w:r w:rsidR="006A640C">
        <w:t>five</w:t>
      </w:r>
      <w:r w:rsidR="00103AF4">
        <w:t xml:space="preserve"> times between </w:t>
      </w:r>
      <w:r w:rsidR="00A93D62">
        <w:t>18</w:t>
      </w:r>
      <w:r w:rsidR="00A93D62" w:rsidRPr="00A93D62">
        <w:rPr>
          <w:vertAlign w:val="superscript"/>
        </w:rPr>
        <w:t>th</w:t>
      </w:r>
      <w:r w:rsidR="00A93D62">
        <w:t xml:space="preserve"> March </w:t>
      </w:r>
      <w:r w:rsidR="00103AF4">
        <w:t xml:space="preserve"> and </w:t>
      </w:r>
      <w:r w:rsidR="00DC4749">
        <w:t>16</w:t>
      </w:r>
      <w:r w:rsidR="00DC4749" w:rsidRPr="00DC4749">
        <w:rPr>
          <w:vertAlign w:val="superscript"/>
        </w:rPr>
        <w:t>th</w:t>
      </w:r>
      <w:r w:rsidR="00DC4749">
        <w:t xml:space="preserve"> September 2025</w:t>
      </w:r>
      <w:r w:rsidR="00103AF4">
        <w:t xml:space="preserve">. </w:t>
      </w:r>
      <w:r w:rsidR="00D728CC">
        <w:t xml:space="preserve">Six quadrats </w:t>
      </w:r>
      <w:r w:rsidR="00EF1EB4">
        <w:t>of 1 m</w:t>
      </w:r>
      <w:r w:rsidR="00EF1EB4" w:rsidRPr="00EF1EB4">
        <w:rPr>
          <w:vertAlign w:val="superscript"/>
        </w:rPr>
        <w:t>2</w:t>
      </w:r>
      <w:r w:rsidR="00EF1EB4">
        <w:t xml:space="preserve"> </w:t>
      </w:r>
      <w:r w:rsidR="00D728CC">
        <w:t>were sampled at the low, high and middle vegetation zone</w:t>
      </w:r>
      <w:r w:rsidR="000E2A46">
        <w:t>s during each visit.</w:t>
      </w:r>
      <w:r w:rsidR="00B4451F">
        <w:t xml:space="preserve"> Notice that some visits needed to be spread out in consecutive days, but they still belong to the same sampling event. </w:t>
      </w:r>
      <w:r w:rsidR="00F344CC">
        <w:t xml:space="preserve">Vegetation zones were identified </w:t>
      </w:r>
      <w:r w:rsidR="00F344CC">
        <w:rPr>
          <w:szCs w:val="24"/>
        </w:rPr>
        <w:t xml:space="preserve">by </w:t>
      </w:r>
      <w:r w:rsidR="008573AF">
        <w:rPr>
          <w:szCs w:val="24"/>
        </w:rPr>
        <w:t>observed dominant vegetation in an area:</w:t>
      </w:r>
      <w:r w:rsidR="00F344CC">
        <w:rPr>
          <w:szCs w:val="24"/>
        </w:rPr>
        <w:t xml:space="preserve"> ‘pioneer/low’ (e.g. </w:t>
      </w:r>
      <w:r w:rsidR="00F344CC" w:rsidRPr="00210E29">
        <w:rPr>
          <w:i/>
          <w:iCs/>
          <w:szCs w:val="24"/>
        </w:rPr>
        <w:t>Spartina</w:t>
      </w:r>
      <w:r w:rsidR="00F344CC">
        <w:rPr>
          <w:szCs w:val="24"/>
        </w:rPr>
        <w:t xml:space="preserve">- or </w:t>
      </w:r>
      <w:r w:rsidR="00F344CC" w:rsidRPr="00210E29">
        <w:rPr>
          <w:i/>
          <w:iCs/>
          <w:szCs w:val="24"/>
        </w:rPr>
        <w:t>Salicornia</w:t>
      </w:r>
      <w:r w:rsidR="00F344CC">
        <w:rPr>
          <w:szCs w:val="24"/>
        </w:rPr>
        <w:t>-dominated), ‘mid</w:t>
      </w:r>
      <w:r w:rsidR="008573AF">
        <w:rPr>
          <w:szCs w:val="24"/>
        </w:rPr>
        <w:t>dle</w:t>
      </w:r>
      <w:r w:rsidR="00F344CC">
        <w:rPr>
          <w:szCs w:val="24"/>
        </w:rPr>
        <w:t xml:space="preserve">’ (e.g. mixed communities of </w:t>
      </w:r>
      <w:r w:rsidR="00F344CC" w:rsidRPr="00210E29">
        <w:rPr>
          <w:i/>
          <w:iCs/>
          <w:szCs w:val="24"/>
        </w:rPr>
        <w:t>Atriplex</w:t>
      </w:r>
      <w:r w:rsidR="00F344CC">
        <w:rPr>
          <w:szCs w:val="24"/>
        </w:rPr>
        <w:t xml:space="preserve">, </w:t>
      </w:r>
      <w:proofErr w:type="spellStart"/>
      <w:r w:rsidR="00F344CC" w:rsidRPr="00210E29">
        <w:rPr>
          <w:i/>
          <w:iCs/>
          <w:szCs w:val="24"/>
        </w:rPr>
        <w:t>Armeria</w:t>
      </w:r>
      <w:proofErr w:type="spellEnd"/>
      <w:r w:rsidR="00F344CC">
        <w:rPr>
          <w:szCs w:val="24"/>
        </w:rPr>
        <w:t>,</w:t>
      </w:r>
      <w:r w:rsidR="00F344CC" w:rsidRPr="00210E29">
        <w:rPr>
          <w:i/>
          <w:iCs/>
          <w:szCs w:val="24"/>
        </w:rPr>
        <w:t xml:space="preserve"> Plantago</w:t>
      </w:r>
      <w:r w:rsidR="00F344CC">
        <w:rPr>
          <w:szCs w:val="24"/>
        </w:rPr>
        <w:t xml:space="preserve">, </w:t>
      </w:r>
      <w:r w:rsidR="00F344CC" w:rsidRPr="00210E29">
        <w:rPr>
          <w:i/>
          <w:iCs/>
          <w:szCs w:val="24"/>
        </w:rPr>
        <w:t>Limonium</w:t>
      </w:r>
      <w:r w:rsidR="00F344CC">
        <w:rPr>
          <w:szCs w:val="24"/>
        </w:rPr>
        <w:t xml:space="preserve">, and </w:t>
      </w:r>
      <w:proofErr w:type="spellStart"/>
      <w:r w:rsidR="00F344CC" w:rsidRPr="00210E29">
        <w:rPr>
          <w:i/>
          <w:iCs/>
          <w:szCs w:val="24"/>
        </w:rPr>
        <w:t>Puccinellia</w:t>
      </w:r>
      <w:proofErr w:type="spellEnd"/>
      <w:r w:rsidR="00F344CC">
        <w:rPr>
          <w:szCs w:val="24"/>
        </w:rPr>
        <w:t>), and ‘</w:t>
      </w:r>
      <w:r w:rsidR="008573AF">
        <w:rPr>
          <w:szCs w:val="24"/>
        </w:rPr>
        <w:t>high’</w:t>
      </w:r>
      <w:r w:rsidR="00F344CC">
        <w:rPr>
          <w:szCs w:val="24"/>
        </w:rPr>
        <w:t xml:space="preserve"> (e.g. </w:t>
      </w:r>
      <w:r w:rsidR="00F344CC" w:rsidRPr="00210E29">
        <w:rPr>
          <w:i/>
          <w:iCs/>
          <w:szCs w:val="24"/>
        </w:rPr>
        <w:t>Elymus</w:t>
      </w:r>
      <w:r w:rsidR="00F344CC">
        <w:rPr>
          <w:szCs w:val="24"/>
        </w:rPr>
        <w:t xml:space="preserve">-dominated) saltmarsh plant communities. </w:t>
      </w:r>
    </w:p>
    <w:p w14:paraId="3C63F16A" w14:textId="77777777" w:rsidR="00EF5E82" w:rsidRDefault="00EF5E82" w:rsidP="00103AF4">
      <w:pPr>
        <w:pStyle w:val="NoSpacing"/>
      </w:pPr>
    </w:p>
    <w:p w14:paraId="15DF26FD" w14:textId="17D487D5" w:rsidR="00B24034" w:rsidRDefault="00B24034" w:rsidP="00B24034">
      <w:pPr>
        <w:pStyle w:val="Heading3"/>
      </w:pPr>
      <w:bookmarkStart w:id="4" w:name="_Toc212824078"/>
      <w:bookmarkStart w:id="5" w:name="_Toc204240449"/>
      <w:r>
        <w:t>Saltmarsh Vegetation Community</w:t>
      </w:r>
      <w:bookmarkEnd w:id="4"/>
      <w:r>
        <w:t xml:space="preserve"> </w:t>
      </w:r>
      <w:bookmarkEnd w:id="5"/>
    </w:p>
    <w:p w14:paraId="2CE76565" w14:textId="4B4866E3" w:rsidR="00B24034" w:rsidRPr="00ED6D81" w:rsidRDefault="00B24034" w:rsidP="00B24034">
      <w:r w:rsidRPr="00ED6D81">
        <w:t xml:space="preserve">Thus, in each saltmarsh, we sampled three distinct </w:t>
      </w:r>
      <w:r>
        <w:t xml:space="preserve">elevation-related </w:t>
      </w:r>
      <w:r w:rsidRPr="00ED6D81">
        <w:t>vegetation zones, aiming for pioneer</w:t>
      </w:r>
      <w:r>
        <w:t xml:space="preserve"> to low</w:t>
      </w:r>
      <w:r w:rsidRPr="00ED6D81">
        <w:t xml:space="preserve">, low-mid and upper saltmarsh communities to the extent that was practicable. </w:t>
      </w:r>
    </w:p>
    <w:p w14:paraId="4070DE7C" w14:textId="0C0347D4" w:rsidR="004B4938" w:rsidRDefault="00B24034" w:rsidP="004B4938">
      <w:r w:rsidRPr="00ED6D81">
        <w:t>In each saltmarsh vegetation zone identified</w:t>
      </w:r>
      <w:r>
        <w:t xml:space="preserve"> in the field</w:t>
      </w:r>
      <w:r w:rsidRPr="00ED6D81">
        <w:t>, we surveyed six 1 x 1 m quadrats at random, but avoiding, to the extent possible</w:t>
      </w:r>
      <w:r>
        <w:t>,</w:t>
      </w:r>
      <w:r w:rsidRPr="00ED6D81">
        <w:t xml:space="preserve"> creek lines, nesting or roosting birds, feeding bird assemblages and saltpans. Through random sampling, taking account of these constraints, we tried to ensure unbiased characterisation of the vegetation and denitrification rates while capturing a representative sample of the vegetation community within a given zone. </w:t>
      </w:r>
      <w:r w:rsidR="00F53F43">
        <w:t xml:space="preserve">In visit 5 (March/ April 2025), </w:t>
      </w:r>
      <w:r w:rsidR="0083548D">
        <w:t>a</w:t>
      </w:r>
      <w:r w:rsidR="00F53F43">
        <w:t xml:space="preserve"> slightly </w:t>
      </w:r>
      <w:r w:rsidR="0083548D">
        <w:t>dissimilar</w:t>
      </w:r>
      <w:r w:rsidR="00F53F43">
        <w:t xml:space="preserve"> location was sampled </w:t>
      </w:r>
      <w:r w:rsidR="0083548D">
        <w:t xml:space="preserve">at Low and Mid marsh at Warton Bank salt marsh. To </w:t>
      </w:r>
      <w:r w:rsidR="00BA1FFD">
        <w:t>assess</w:t>
      </w:r>
      <w:r w:rsidR="0083548D">
        <w:t xml:space="preserve"> the effect of this </w:t>
      </w:r>
      <w:r w:rsidR="00BA1FFD">
        <w:t xml:space="preserve">change in location within vegetation zone, </w:t>
      </w:r>
      <w:r w:rsidR="004B4938">
        <w:t xml:space="preserve">in July 2025 and September 2025 (visits </w:t>
      </w:r>
      <w:r w:rsidR="000D29C6">
        <w:t xml:space="preserve">8 and 9) </w:t>
      </w:r>
      <w:r w:rsidR="004B4938">
        <w:t xml:space="preserve">we sampled </w:t>
      </w:r>
      <w:r w:rsidR="00BA1FFD">
        <w:t xml:space="preserve">the </w:t>
      </w:r>
      <w:r w:rsidR="004B4938">
        <w:t xml:space="preserve">two locations in each of the ‘Low’ and ‘Mid’ vegetation zones, with six quadrats in each location. </w:t>
      </w:r>
    </w:p>
    <w:p w14:paraId="442990FC" w14:textId="451413E9" w:rsidR="00B24034" w:rsidRPr="00ED6D81" w:rsidRDefault="00B24034" w:rsidP="00B24034"/>
    <w:p w14:paraId="72B5417E" w14:textId="77777777" w:rsidR="00194E86" w:rsidRDefault="00B24034" w:rsidP="00B24034">
      <w:r w:rsidRPr="00ED6D81">
        <w:t>Once the quadrat had been placed we recorded percentage cover of bare ground, litter, and live vegetation. In general, vegetation was identified to genus level although clearly identifiable species</w:t>
      </w:r>
      <w:r>
        <w:t xml:space="preserve"> which we expected to play different functional roles</w:t>
      </w:r>
      <w:r w:rsidRPr="00ED6D81">
        <w:t xml:space="preserve"> were recorded separately e.g.</w:t>
      </w:r>
      <w:r>
        <w:t xml:space="preserve"> the herbaceous</w:t>
      </w:r>
      <w:r w:rsidRPr="00ED6D81">
        <w:t xml:space="preserve"> </w:t>
      </w:r>
      <w:r w:rsidRPr="00ED6D81">
        <w:rPr>
          <w:i/>
          <w:iCs/>
        </w:rPr>
        <w:t xml:space="preserve">Atriplex </w:t>
      </w:r>
      <w:proofErr w:type="spellStart"/>
      <w:r w:rsidRPr="00ED6D81">
        <w:rPr>
          <w:i/>
          <w:iCs/>
        </w:rPr>
        <w:t>prostrata</w:t>
      </w:r>
      <w:proofErr w:type="spellEnd"/>
      <w:r w:rsidRPr="00ED6D81">
        <w:t xml:space="preserve"> and</w:t>
      </w:r>
      <w:r>
        <w:t xml:space="preserve"> woody</w:t>
      </w:r>
      <w:r w:rsidRPr="00ED6D81">
        <w:t xml:space="preserve"> </w:t>
      </w:r>
      <w:r w:rsidRPr="00ED6D81">
        <w:rPr>
          <w:i/>
          <w:iCs/>
        </w:rPr>
        <w:t xml:space="preserve">Atriplex </w:t>
      </w:r>
      <w:proofErr w:type="spellStart"/>
      <w:r w:rsidRPr="00ED6D81">
        <w:rPr>
          <w:i/>
          <w:iCs/>
        </w:rPr>
        <w:t>portulacoides</w:t>
      </w:r>
      <w:proofErr w:type="spellEnd"/>
      <w:r w:rsidRPr="00ED6D81">
        <w:t xml:space="preserve">. For those species with greater than or equal to 15 % cover, height was also recorded, on five randomly selected individuals per </w:t>
      </w:r>
      <w:r w:rsidRPr="00ED6D81">
        <w:lastRenderedPageBreak/>
        <w:t>species. For current purposes, taking height and cover together could give an indication of biomass</w:t>
      </w:r>
      <w:r w:rsidR="00194E86">
        <w:t>.</w:t>
      </w:r>
    </w:p>
    <w:p w14:paraId="0AA97FAF" w14:textId="77777777" w:rsidR="00B24034" w:rsidRDefault="00B24034" w:rsidP="00B24034">
      <w:pPr>
        <w:pStyle w:val="Heading3"/>
      </w:pPr>
      <w:bookmarkStart w:id="6" w:name="_Toc204240450"/>
      <w:bookmarkStart w:id="7" w:name="_Toc212824079"/>
      <w:r>
        <w:t>Saltmarsh Denitrification and Sediment Characterisation: Sample Collection for Analysis</w:t>
      </w:r>
      <w:bookmarkEnd w:id="6"/>
      <w:bookmarkEnd w:id="7"/>
    </w:p>
    <w:p w14:paraId="239405DD" w14:textId="2F1034F7" w:rsidR="00B24034" w:rsidRDefault="00B24034" w:rsidP="00B24034">
      <w:r w:rsidRPr="00D10E8D">
        <w:t>Within the 1 x 1m quadrats, we chose 2 locations of approximately the same aboveground plant community composition and biomass (estimated by eye) for saltmarsh denitrification core collection.</w:t>
      </w:r>
      <w:r>
        <w:t xml:space="preserve"> </w:t>
      </w:r>
    </w:p>
    <w:p w14:paraId="00B1A5FD" w14:textId="77777777" w:rsidR="00B24034" w:rsidRPr="00D10E8D" w:rsidRDefault="00B24034" w:rsidP="00B24034">
      <w:r w:rsidRPr="00D10E8D">
        <w:t xml:space="preserve">Two black plastic cores of 68 mm internal diameter, and 22 cm depth were hammered into the sediment, having removed </w:t>
      </w:r>
      <w:r>
        <w:t>any interfering v</w:t>
      </w:r>
      <w:r w:rsidRPr="00D10E8D">
        <w:t xml:space="preserve">egetation first, leaving approximately 2 cm </w:t>
      </w:r>
      <w:r>
        <w:t xml:space="preserve">of the core </w:t>
      </w:r>
      <w:r w:rsidRPr="00D10E8D">
        <w:t>showing above ground. Cores were then extracted</w:t>
      </w:r>
      <w:r>
        <w:t xml:space="preserve"> with a post-hole spade</w:t>
      </w:r>
      <w:r w:rsidRPr="00D10E8D">
        <w:t>, capped at both ends</w:t>
      </w:r>
      <w:r>
        <w:t xml:space="preserve"> in black plastic</w:t>
      </w:r>
      <w:r w:rsidRPr="00D10E8D">
        <w:t>, appropriately labelled and kept as cool as practicable (but not frozen) until transfer to Bangor University for laboratory analysis.</w:t>
      </w:r>
      <w:r>
        <w:t xml:space="preserve"> In the field, they were kept cool in insulated plastic boxes, with ice packs subsequently added at the end of each day in the field, exchanged daily for fresh ice packs for the duration of sampling and transfer to Bangor University </w:t>
      </w:r>
      <w:r w:rsidRPr="00CC12CB">
        <w:t>laboratory. Prior to analysis, cores were kept in a cool room at 3</w:t>
      </w:r>
      <w:r w:rsidRPr="00CC12CB">
        <w:rPr>
          <w:rFonts w:cs="Arial"/>
        </w:rPr>
        <w:t>°</w:t>
      </w:r>
      <w:r w:rsidRPr="00CC12CB">
        <w:t>C.</w:t>
      </w:r>
      <w:r>
        <w:t xml:space="preserve"> </w:t>
      </w:r>
      <w:r w:rsidRPr="00D10E8D">
        <w:t xml:space="preserve"> </w:t>
      </w:r>
    </w:p>
    <w:p w14:paraId="3A397EF4" w14:textId="234D4023" w:rsidR="00B24034" w:rsidRPr="007713E2" w:rsidRDefault="00B24034" w:rsidP="00B24034">
      <w:pPr>
        <w:rPr>
          <w:color w:val="FF0000"/>
        </w:rPr>
      </w:pPr>
      <w:r w:rsidRPr="00D10E8D">
        <w:t xml:space="preserve">We used sediment extracts from these cores, </w:t>
      </w:r>
      <w:r>
        <w:t xml:space="preserve">after </w:t>
      </w:r>
      <w:r w:rsidRPr="00D10E8D">
        <w:t xml:space="preserve">the denitrification assays described in the </w:t>
      </w:r>
      <w:r w:rsidR="000F6954">
        <w:t>Laboratory analys</w:t>
      </w:r>
      <w:r w:rsidR="00BD00A3">
        <w:t>e</w:t>
      </w:r>
      <w:r w:rsidR="000F6954">
        <w:t>s</w:t>
      </w:r>
      <w:r w:rsidR="0055127F">
        <w:t xml:space="preserve"> </w:t>
      </w:r>
      <w:r w:rsidRPr="00D10E8D">
        <w:t xml:space="preserve">section, for characterisation of organic matter content </w:t>
      </w:r>
      <w:r>
        <w:t>and bulk density</w:t>
      </w:r>
      <w:r w:rsidR="00AA5DDE">
        <w:t xml:space="preserve"> measures</w:t>
      </w:r>
      <w:r w:rsidRPr="00D10E8D">
        <w:t>.</w:t>
      </w:r>
      <w:r>
        <w:rPr>
          <w:color w:val="FF0000"/>
        </w:rPr>
        <w:t xml:space="preserve">   </w:t>
      </w:r>
    </w:p>
    <w:p w14:paraId="4AC81847" w14:textId="77777777" w:rsidR="00B24034" w:rsidRDefault="00B24034" w:rsidP="00B24034">
      <w:pPr>
        <w:pStyle w:val="Heading3"/>
      </w:pPr>
      <w:bookmarkStart w:id="8" w:name="_Toc204240451"/>
      <w:bookmarkStart w:id="9" w:name="_Toc212824080"/>
      <w:r>
        <w:t>Saltmarsh Porewater and Estuarine Water Tidal Sample Collection</w:t>
      </w:r>
      <w:bookmarkEnd w:id="8"/>
      <w:bookmarkEnd w:id="9"/>
    </w:p>
    <w:p w14:paraId="79584597" w14:textId="77777777" w:rsidR="00B24034" w:rsidRPr="00142867" w:rsidRDefault="00B24034" w:rsidP="00B24034">
      <w:r w:rsidRPr="00230B3B">
        <w:t xml:space="preserve">In 4 of the 6 quadrats, we extracted porewater samples from one excavated core hole. We used </w:t>
      </w:r>
      <w:proofErr w:type="spellStart"/>
      <w:r w:rsidRPr="00230B3B">
        <w:t>Rhizon</w:t>
      </w:r>
      <w:proofErr w:type="spellEnd"/>
      <w:r w:rsidRPr="00230B3B">
        <w:rPr>
          <w:rFonts w:cs="Arial"/>
        </w:rPr>
        <w:t>™</w:t>
      </w:r>
      <w:r w:rsidRPr="00230B3B">
        <w:t xml:space="preserve"> samplers of approximately 5 cm length, inserted at three depths – approximately 5, 10 and 15 cm. Each </w:t>
      </w:r>
      <w:proofErr w:type="spellStart"/>
      <w:r w:rsidRPr="00230B3B">
        <w:t>Rhizon</w:t>
      </w:r>
      <w:proofErr w:type="spellEnd"/>
      <w:r w:rsidRPr="00230B3B">
        <w:rPr>
          <w:rFonts w:cs="Arial"/>
        </w:rPr>
        <w:t>™</w:t>
      </w:r>
      <w:r w:rsidRPr="00230B3B">
        <w:t xml:space="preserve"> was attached to a syringe to ensure a vacuum and draw for the porewater. Having waited a reasonable amount of time, given tidal and fieldwork constraints, but not less than 20 minutes</w:t>
      </w:r>
      <w:r w:rsidRPr="00142867">
        <w:t>, we collected individual samples into a Falcon tube, with the aim of having at least 2 ml of porewater solution per depth.</w:t>
      </w:r>
      <w:r>
        <w:t xml:space="preserve"> We had difficulty extracting porewater samples from a number of locations; we take this into account in our analysis approach by integrating across depths to provide core-specific concentrations.</w:t>
      </w:r>
      <w:r w:rsidRPr="00142867">
        <w:t xml:space="preserve"> </w:t>
      </w:r>
      <w:r>
        <w:t>Where porewater s</w:t>
      </w:r>
      <w:r w:rsidRPr="00142867">
        <w:t xml:space="preserve">amples </w:t>
      </w:r>
      <w:r>
        <w:t xml:space="preserve">were collected, they were </w:t>
      </w:r>
      <w:r w:rsidRPr="00142867">
        <w:t>kept coo</w:t>
      </w:r>
      <w:r>
        <w:t>l</w:t>
      </w:r>
      <w:r w:rsidRPr="00142867">
        <w:t xml:space="preserve"> until such time they could be analysed at Bangor University laborator</w:t>
      </w:r>
      <w:r>
        <w:t>y i.e. in the same manner as for denitrification cores described above except that at the end of each sampling day they were placed in a refrigerator until transfer to the Bangor University laboratory</w:t>
      </w:r>
      <w:r w:rsidRPr="00142867">
        <w:t xml:space="preserve">. </w:t>
      </w:r>
    </w:p>
    <w:p w14:paraId="4A729DFA" w14:textId="44CF9594" w:rsidR="00B24034" w:rsidRDefault="00B24034" w:rsidP="00B24034">
      <w:r w:rsidRPr="00142867">
        <w:t>In addition to the porewater, we also collected a</w:t>
      </w:r>
      <w:r>
        <w:t xml:space="preserve"> </w:t>
      </w:r>
      <w:r w:rsidRPr="00142867">
        <w:t xml:space="preserve">tide </w:t>
      </w:r>
      <w:r w:rsidR="00A0326A">
        <w:t xml:space="preserve">water </w:t>
      </w:r>
      <w:r w:rsidRPr="00142867">
        <w:t>sample. Th</w:t>
      </w:r>
      <w:r>
        <w:t>ese</w:t>
      </w:r>
      <w:r w:rsidRPr="00142867">
        <w:t xml:space="preserve"> w</w:t>
      </w:r>
      <w:r>
        <w:t>ere</w:t>
      </w:r>
      <w:r w:rsidRPr="00142867">
        <w:t xml:space="preserve"> sourced from a convenient tidal creek / main estuary channel location, approximately 1 to 2 hours either side of high water.</w:t>
      </w:r>
      <w:r>
        <w:t xml:space="preserve"> These samples were used to characterise the nutrient environment of the saltmarsh, and we used this information when running denitrification samples through the Wetland Hydroperiod Simulator (see </w:t>
      </w:r>
      <w:r w:rsidR="00BD00A3">
        <w:t>Laboratory analyses</w:t>
      </w:r>
      <w:r>
        <w:t xml:space="preserve"> section).</w:t>
      </w:r>
    </w:p>
    <w:p w14:paraId="05824C5B" w14:textId="77777777" w:rsidR="00667E2D" w:rsidRDefault="00667E2D" w:rsidP="00667E2D">
      <w:pPr>
        <w:pStyle w:val="Heading2"/>
      </w:pPr>
      <w:bookmarkStart w:id="10" w:name="_Toc204240463"/>
      <w:bookmarkStart w:id="11" w:name="_Toc212824081"/>
      <w:r>
        <w:t>Laboratory Analyses</w:t>
      </w:r>
      <w:bookmarkEnd w:id="10"/>
      <w:bookmarkEnd w:id="11"/>
    </w:p>
    <w:p w14:paraId="15E8E30E" w14:textId="77777777" w:rsidR="00667E2D" w:rsidRDefault="00667E2D" w:rsidP="00667E2D">
      <w:pPr>
        <w:pStyle w:val="Heading3"/>
      </w:pPr>
      <w:bookmarkStart w:id="12" w:name="_Toc204240464"/>
      <w:bookmarkStart w:id="13" w:name="_Toc212824082"/>
      <w:r>
        <w:t>Denitrification Dynamics: The Wetland Hydroperiod Simulator Approach</w:t>
      </w:r>
      <w:bookmarkEnd w:id="12"/>
      <w:bookmarkEnd w:id="13"/>
    </w:p>
    <w:p w14:paraId="225B5D30" w14:textId="77777777" w:rsidR="00667E2D" w:rsidRDefault="00667E2D" w:rsidP="00667E2D">
      <w:pPr>
        <w:pStyle w:val="NoSpacing"/>
        <w:rPr>
          <w:rFonts w:cstheme="minorHAnsi"/>
        </w:rPr>
      </w:pPr>
    </w:p>
    <w:p w14:paraId="2612D0C2" w14:textId="3416DD46" w:rsidR="00667E2D" w:rsidRPr="008E2B49" w:rsidRDefault="00667E2D" w:rsidP="00667E2D">
      <w:pPr>
        <w:pStyle w:val="NoSpacing"/>
        <w:rPr>
          <w:rFonts w:cstheme="minorHAnsi"/>
          <w:szCs w:val="24"/>
        </w:rPr>
      </w:pPr>
      <w:bookmarkStart w:id="14" w:name="_Hlk193714919"/>
      <w:r w:rsidRPr="008E2B49">
        <w:rPr>
          <w:rFonts w:cstheme="minorHAnsi"/>
          <w:szCs w:val="24"/>
        </w:rPr>
        <w:t xml:space="preserve">Denitrification rates from the whole core samples were analysed using the custom-built Wetland Hydroperiod </w:t>
      </w:r>
      <w:r w:rsidRPr="00F51C52">
        <w:rPr>
          <w:rFonts w:cstheme="minorHAnsi"/>
          <w:szCs w:val="24"/>
        </w:rPr>
        <w:t xml:space="preserve">Simulator (WHS; </w:t>
      </w:r>
      <w:r w:rsidRPr="00F51C52">
        <w:rPr>
          <w:rFonts w:cstheme="minorHAnsi"/>
          <w:szCs w:val="24"/>
          <w:highlight w:val="yellow"/>
        </w:rPr>
        <w:fldChar w:fldCharType="begin"/>
      </w:r>
      <w:r w:rsidRPr="00F51C52">
        <w:rPr>
          <w:rFonts w:cstheme="minorHAnsi"/>
          <w:szCs w:val="24"/>
        </w:rPr>
        <w:instrText xml:space="preserve"> REF _Ref177714202 \h </w:instrText>
      </w:r>
      <w:r>
        <w:rPr>
          <w:rFonts w:cstheme="minorHAnsi"/>
          <w:szCs w:val="24"/>
          <w:highlight w:val="yellow"/>
        </w:rPr>
        <w:instrText xml:space="preserve"> \* MERGEFORMAT </w:instrText>
      </w:r>
      <w:r w:rsidRPr="00F51C52">
        <w:rPr>
          <w:rFonts w:cstheme="minorHAnsi"/>
          <w:szCs w:val="24"/>
          <w:highlight w:val="yellow"/>
        </w:rPr>
      </w:r>
      <w:r w:rsidRPr="00F51C52">
        <w:rPr>
          <w:rFonts w:cstheme="minorHAnsi"/>
          <w:szCs w:val="24"/>
          <w:highlight w:val="yellow"/>
        </w:rPr>
        <w:fldChar w:fldCharType="separate"/>
      </w:r>
      <w:r w:rsidR="003A2367" w:rsidRPr="003A2367">
        <w:rPr>
          <w:szCs w:val="24"/>
        </w:rPr>
        <w:t xml:space="preserve">Figure </w:t>
      </w:r>
      <w:r w:rsidRPr="00F51C52">
        <w:rPr>
          <w:rFonts w:cstheme="minorHAnsi"/>
          <w:szCs w:val="24"/>
          <w:highlight w:val="yellow"/>
        </w:rPr>
        <w:fldChar w:fldCharType="end"/>
      </w:r>
      <w:r w:rsidR="008749AD">
        <w:rPr>
          <w:rFonts w:cstheme="minorHAnsi"/>
          <w:szCs w:val="24"/>
        </w:rPr>
        <w:t>1</w:t>
      </w:r>
      <w:r w:rsidRPr="00F51C52">
        <w:rPr>
          <w:rFonts w:cstheme="minorHAnsi"/>
          <w:szCs w:val="24"/>
        </w:rPr>
        <w:t>). Th</w:t>
      </w:r>
      <w:r w:rsidRPr="008E2B49">
        <w:rPr>
          <w:rFonts w:cstheme="minorHAnsi"/>
          <w:szCs w:val="24"/>
        </w:rPr>
        <w:t xml:space="preserve">e WHS consists of a chamber linked to a water reservoir via a system of pipework. The water reservoir is fitted to a raising platform which </w:t>
      </w:r>
      <w:r w:rsidRPr="008E2B49">
        <w:rPr>
          <w:rFonts w:cstheme="minorHAnsi"/>
          <w:szCs w:val="24"/>
        </w:rPr>
        <w:lastRenderedPageBreak/>
        <w:t>can alter the level of water in the cores. This level is controlled by the WHS, using</w:t>
      </w:r>
      <w:r>
        <w:rPr>
          <w:rFonts w:cstheme="minorHAnsi"/>
          <w:szCs w:val="24"/>
        </w:rPr>
        <w:t xml:space="preserve"> </w:t>
      </w:r>
      <w:r w:rsidRPr="008E2B49">
        <w:rPr>
          <w:rFonts w:cstheme="minorHAnsi"/>
          <w:szCs w:val="24"/>
        </w:rPr>
        <w:t>Raspberry Pi</w:t>
      </w:r>
      <w:r>
        <w:rPr>
          <w:rFonts w:cstheme="minorHAnsi"/>
          <w:szCs w:val="24"/>
        </w:rPr>
        <w:t xml:space="preserve"> computing</w:t>
      </w:r>
      <w:r w:rsidRPr="008E2B49">
        <w:rPr>
          <w:rFonts w:cstheme="minorHAnsi"/>
          <w:szCs w:val="24"/>
        </w:rPr>
        <w:t>, coded to simulate the water level changes of a 24-hour neap tide.</w:t>
      </w:r>
    </w:p>
    <w:p w14:paraId="3ADF5F8B" w14:textId="77777777" w:rsidR="00667E2D" w:rsidRDefault="00667E2D" w:rsidP="00667E2D">
      <w:pPr>
        <w:pStyle w:val="NoSpacing"/>
        <w:spacing w:after="160" w:line="259" w:lineRule="auto"/>
        <w:rPr>
          <w:rFonts w:cstheme="minorHAnsi"/>
        </w:rPr>
      </w:pPr>
      <w:r>
        <w:rPr>
          <w:rFonts w:cstheme="minorHAnsi"/>
          <w:noProof/>
        </w:rPr>
        <w:drawing>
          <wp:inline distT="0" distB="0" distL="0" distR="0" wp14:anchorId="77EF4718" wp14:editId="318767BE">
            <wp:extent cx="5731510" cy="3223895"/>
            <wp:effectExtent l="0" t="0" r="2540" b="0"/>
            <wp:docPr id="17423553" name="Picture 1" descr="A close-up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3553" name="Picture 1" descr="A close-up of a machin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731510" cy="3223895"/>
                    </a:xfrm>
                    <a:prstGeom prst="rect">
                      <a:avLst/>
                    </a:prstGeom>
                  </pic:spPr>
                </pic:pic>
              </a:graphicData>
            </a:graphic>
          </wp:inline>
        </w:drawing>
      </w:r>
    </w:p>
    <w:p w14:paraId="266132C3" w14:textId="7CCA7861" w:rsidR="00667E2D" w:rsidRPr="00807C1A" w:rsidRDefault="00667E2D" w:rsidP="00667E2D">
      <w:pPr>
        <w:pStyle w:val="Caption"/>
        <w:rPr>
          <w:rFonts w:asciiTheme="minorHAnsi" w:hAnsiTheme="minorHAnsi" w:cstheme="minorHAnsi"/>
          <w:sz w:val="20"/>
          <w:szCs w:val="20"/>
        </w:rPr>
      </w:pPr>
      <w:bookmarkStart w:id="15" w:name="_Ref177714202"/>
      <w:r w:rsidRPr="00807C1A">
        <w:rPr>
          <w:sz w:val="20"/>
          <w:szCs w:val="20"/>
        </w:rPr>
        <w:t xml:space="preserve">Figure </w:t>
      </w:r>
      <w:bookmarkEnd w:id="15"/>
      <w:r w:rsidR="005F6424">
        <w:rPr>
          <w:sz w:val="20"/>
          <w:szCs w:val="20"/>
        </w:rPr>
        <w:t>1</w:t>
      </w:r>
      <w:r>
        <w:rPr>
          <w:sz w:val="20"/>
          <w:szCs w:val="20"/>
        </w:rPr>
        <w:t>:</w:t>
      </w:r>
      <w:r w:rsidRPr="00807C1A">
        <w:rPr>
          <w:rFonts w:asciiTheme="minorHAnsi" w:hAnsiTheme="minorHAnsi" w:cstheme="minorHAnsi"/>
          <w:sz w:val="20"/>
          <w:szCs w:val="20"/>
        </w:rPr>
        <w:t xml:space="preserve"> The components of Bangor University’s Wetland Hydroperiod Simulator (WHS).</w:t>
      </w:r>
    </w:p>
    <w:p w14:paraId="79E51F74" w14:textId="77777777" w:rsidR="00667E2D" w:rsidRDefault="00667E2D" w:rsidP="00667E2D">
      <w:pPr>
        <w:pStyle w:val="NoSpacing"/>
        <w:rPr>
          <w:rFonts w:cstheme="minorHAnsi"/>
        </w:rPr>
      </w:pPr>
    </w:p>
    <w:p w14:paraId="0918EFF6" w14:textId="77777777" w:rsidR="00DA3243" w:rsidRDefault="00667E2D" w:rsidP="00667E2D">
      <w:pPr>
        <w:spacing w:after="0" w:line="240" w:lineRule="auto"/>
      </w:pPr>
      <w:r w:rsidRPr="2CDFE948">
        <w:t>To calculate actual denitrification for one sample, two cores were taken per quadrat, one to undergo acetylene (C</w:t>
      </w:r>
      <w:r w:rsidRPr="2CDFE948">
        <w:rPr>
          <w:vertAlign w:val="subscript"/>
        </w:rPr>
        <w:t>2</w:t>
      </w:r>
      <w:r w:rsidRPr="2CDFE948">
        <w:t>H</w:t>
      </w:r>
      <w:r w:rsidRPr="2CDFE948">
        <w:rPr>
          <w:vertAlign w:val="subscript"/>
        </w:rPr>
        <w:t>2</w:t>
      </w:r>
      <w:r w:rsidRPr="2CDFE948">
        <w:t xml:space="preserve">) inhibition </w:t>
      </w:r>
      <w:r w:rsidRPr="005C7832">
        <w:t xml:space="preserve">and one to act as a control. </w:t>
      </w:r>
    </w:p>
    <w:p w14:paraId="752A5621" w14:textId="77777777" w:rsidR="00667E2D" w:rsidRPr="008E2B49" w:rsidRDefault="00667E2D" w:rsidP="00667E2D">
      <w:pPr>
        <w:spacing w:after="0" w:line="240" w:lineRule="auto"/>
        <w:rPr>
          <w:szCs w:val="24"/>
        </w:rPr>
      </w:pPr>
    </w:p>
    <w:p w14:paraId="79358279" w14:textId="77777777" w:rsidR="00AC2B12" w:rsidRDefault="00667E2D" w:rsidP="00667E2D">
      <w:pPr>
        <w:pStyle w:val="NoSpacing"/>
      </w:pPr>
      <w:r w:rsidRPr="63918613">
        <w:t>Cores were placed in the chambers with a set volume of water (800 ml in a chamber and 1 L in a reservoir), calculated based on the depth of cores and tidal depth required. The nutrient (phosphate, NO</w:t>
      </w:r>
      <w:r w:rsidRPr="63918613">
        <w:rPr>
          <w:vertAlign w:val="subscript"/>
        </w:rPr>
        <w:t>3</w:t>
      </w:r>
      <w:r w:rsidRPr="63918613">
        <w:rPr>
          <w:vertAlign w:val="superscript"/>
        </w:rPr>
        <w:t>-</w:t>
      </w:r>
      <w:r w:rsidRPr="63918613">
        <w:t>, NO</w:t>
      </w:r>
      <w:r w:rsidRPr="63918613">
        <w:rPr>
          <w:vertAlign w:val="subscript"/>
        </w:rPr>
        <w:t>2</w:t>
      </w:r>
      <w:r w:rsidRPr="63918613">
        <w:rPr>
          <w:vertAlign w:val="superscript"/>
        </w:rPr>
        <w:t>-</w:t>
      </w:r>
      <w:r w:rsidRPr="63918613">
        <w:t>, and ammonium (NH</w:t>
      </w:r>
      <w:r w:rsidRPr="63918613">
        <w:rPr>
          <w:vertAlign w:val="subscript"/>
        </w:rPr>
        <w:t>4</w:t>
      </w:r>
      <w:r w:rsidRPr="63918613">
        <w:rPr>
          <w:vertAlign w:val="superscript"/>
        </w:rPr>
        <w:t>+</w:t>
      </w:r>
      <w:r w:rsidRPr="63918613">
        <w:t>)) and ion (chloride (Cl</w:t>
      </w:r>
      <w:r w:rsidRPr="63918613">
        <w:rPr>
          <w:vertAlign w:val="superscript"/>
        </w:rPr>
        <w:t>-</w:t>
      </w:r>
      <w:r w:rsidRPr="63918613">
        <w:t>), sodium (Na</w:t>
      </w:r>
      <w:r w:rsidRPr="63918613">
        <w:rPr>
          <w:vertAlign w:val="superscript"/>
        </w:rPr>
        <w:t>2+</w:t>
      </w:r>
      <w:r w:rsidRPr="63918613">
        <w:t>), potassium (K</w:t>
      </w:r>
      <w:r w:rsidRPr="63918613">
        <w:rPr>
          <w:vertAlign w:val="superscript"/>
        </w:rPr>
        <w:t>+</w:t>
      </w:r>
      <w:r w:rsidRPr="63918613">
        <w:t>), bromide (Br</w:t>
      </w:r>
      <w:r w:rsidRPr="63918613">
        <w:rPr>
          <w:vertAlign w:val="superscript"/>
        </w:rPr>
        <w:t>-</w:t>
      </w:r>
      <w:r w:rsidRPr="63918613">
        <w:t>), magnesium (Mg</w:t>
      </w:r>
      <w:r w:rsidRPr="63918613">
        <w:rPr>
          <w:vertAlign w:val="superscript"/>
        </w:rPr>
        <w:t>3+</w:t>
      </w:r>
      <w:r w:rsidRPr="63918613">
        <w:t>) and calcium (Ca</w:t>
      </w:r>
      <w:r w:rsidRPr="63918613">
        <w:rPr>
          <w:vertAlign w:val="superscript"/>
        </w:rPr>
        <w:t>2+</w:t>
      </w:r>
      <w:r w:rsidRPr="63918613">
        <w:t xml:space="preserve">)) composition of the water was artificially created, with amounts of nutrients and ions informed by the tidal samples collected for the </w:t>
      </w:r>
      <w:r>
        <w:t>coastal habitat</w:t>
      </w:r>
      <w:r w:rsidRPr="63918613">
        <w:t xml:space="preserve"> cores being tested in any given run. In general, flood samples were used to inform conditions in the WHS, as we considered these to supply substrate for denitrification. </w:t>
      </w:r>
    </w:p>
    <w:p w14:paraId="5DDC4CA6" w14:textId="6BAF458A" w:rsidR="00667E2D" w:rsidRPr="00951B00" w:rsidRDefault="00667E2D" w:rsidP="00667E2D">
      <w:pPr>
        <w:pStyle w:val="NoSpacing"/>
        <w:rPr>
          <w:rFonts w:cstheme="minorHAnsi"/>
          <w:szCs w:val="24"/>
        </w:rPr>
      </w:pPr>
      <w:r w:rsidRPr="2E1D4BE3">
        <w:t xml:space="preserve">Chambers were sealed and acetylene chamber atmospheres were then altered to a 0.1 N atmosphere of acetylene. After the chambers were connected to the reservoirs, via the pipework, the water reservoirs for the acetylene chambers were also spiked to a 0.1 N acetylene atmosphere. </w:t>
      </w:r>
      <w:r>
        <w:t xml:space="preserve">The water in both the chambers and reservoirs was flushed with acetylene once filled. </w:t>
      </w:r>
      <w:r w:rsidRPr="2E1D4BE3">
        <w:t>Once all chambers were connected, a 10 mL gas sample was taken and transferred to a 5 mL gas-tight glass container, this was referred to as a Time Zero sample (T0). The WHS then ran a full 24-hour tidal cycle. At the end of this cycle, a second gas sample was taken (T24).</w:t>
      </w:r>
      <w:r>
        <w:t xml:space="preserve"> Temperature was recorded each time a gas sample was taken. Further, the headspace was manually pumped with a syringe prior to taking a gas sample, to avoid underestimating denitrification rates through gas being trapped in soil cores and to ensure that the air was homogenised to avoid density separation. In general, t</w:t>
      </w:r>
      <w:r w:rsidRPr="2E1D4BE3">
        <w:t>he climate conditions in the laboratory were kept as constant as possible from denitrification run to denitrification run</w:t>
      </w:r>
      <w:r>
        <w:t xml:space="preserve">. Given that, we can attribute </w:t>
      </w:r>
      <w:r w:rsidRPr="2E1D4BE3">
        <w:t xml:space="preserve">differences in denitrification rate associated with the cores to </w:t>
      </w:r>
      <w:r>
        <w:t xml:space="preserve">their </w:t>
      </w:r>
      <w:r w:rsidRPr="2E1D4BE3">
        <w:t>characteristics</w:t>
      </w:r>
      <w:r>
        <w:t>,</w:t>
      </w:r>
      <w:r w:rsidRPr="2E1D4BE3">
        <w:t xml:space="preserve"> including the vegetation community from which they were extracted</w:t>
      </w:r>
      <w:r>
        <w:t>,</w:t>
      </w:r>
      <w:r w:rsidRPr="2E1D4BE3">
        <w:t xml:space="preserve"> and the nutrient relationships of the estuarine water</w:t>
      </w:r>
      <w:r w:rsidR="00C95A72">
        <w:t xml:space="preserve">. </w:t>
      </w:r>
    </w:p>
    <w:p w14:paraId="1FEEA7A5" w14:textId="77777777" w:rsidR="00667E2D" w:rsidRDefault="00667E2D" w:rsidP="00667E2D">
      <w:pPr>
        <w:pStyle w:val="Heading3"/>
      </w:pPr>
      <w:bookmarkStart w:id="16" w:name="_Toc204240465"/>
      <w:bookmarkStart w:id="17" w:name="_Toc212824083"/>
      <w:bookmarkEnd w:id="14"/>
      <w:r>
        <w:lastRenderedPageBreak/>
        <w:t>Denitrification Dynamics: Gas Analysis</w:t>
      </w:r>
      <w:bookmarkEnd w:id="16"/>
      <w:bookmarkEnd w:id="17"/>
    </w:p>
    <w:p w14:paraId="21A22169" w14:textId="04F95D3D" w:rsidR="00667E2D" w:rsidRPr="008E2B49" w:rsidRDefault="00667E2D" w:rsidP="00667E2D">
      <w:bookmarkStart w:id="18" w:name="_Hlk193715261"/>
      <w:r w:rsidRPr="7C43E6F5">
        <w:t>Gas samples collected were analysed by gas chromatography using a Varian model 450 gas chromatograph (GC) instrument, equipped with an electron capture detector (ECD) for N</w:t>
      </w:r>
      <w:r w:rsidRPr="7C43E6F5">
        <w:rPr>
          <w:vertAlign w:val="subscript"/>
        </w:rPr>
        <w:t>2</w:t>
      </w:r>
      <w:r w:rsidRPr="7C43E6F5">
        <w:t xml:space="preserve">O. Two mL of gas from the gas-tight glass containers (Exetainers®) containing the samples was injected via a 1041 on-column injector system, set at 40⁰C, onto a </w:t>
      </w:r>
      <w:proofErr w:type="spellStart"/>
      <w:r w:rsidRPr="7C43E6F5">
        <w:t>PoroPak</w:t>
      </w:r>
      <w:proofErr w:type="spellEnd"/>
      <w:r w:rsidRPr="7C43E6F5">
        <w:t xml:space="preserve"> QS (1.83 m x 3.18 mm) 80/100 column. The septum of this system was changed after approximately 500 injections. The column oven temperature was set to 40⁰C and the carrier gas, oxygen-free nitrogen, had a flow rate of 30 mL min</w:t>
      </w:r>
      <w:r w:rsidRPr="7C43E6F5">
        <w:rPr>
          <w:vertAlign w:val="superscript"/>
        </w:rPr>
        <w:t>-1</w:t>
      </w:r>
      <w:r w:rsidRPr="7C43E6F5">
        <w:t>. The temperature of the ECD was 340⁰</w:t>
      </w:r>
      <w:r w:rsidRPr="00AE1E33">
        <w:t>C with a constant flow of 20 mL min</w:t>
      </w:r>
      <w:r w:rsidRPr="00AE1E33">
        <w:rPr>
          <w:vertAlign w:val="superscript"/>
        </w:rPr>
        <w:t>-1</w:t>
      </w:r>
      <w:r w:rsidRPr="00AE1E33">
        <w:t xml:space="preserve"> of oxygen-free nitrogen. Injection of the samples was achieved with a Combi PAL headspace auto-sampler (CTC Analytics, </w:t>
      </w:r>
      <w:proofErr w:type="spellStart"/>
      <w:r w:rsidRPr="00AE1E33">
        <w:t>Zwingen</w:t>
      </w:r>
      <w:proofErr w:type="spellEnd"/>
      <w:r w:rsidRPr="00AE1E33">
        <w:t>, Switzerland) equipped with a 5 mL syringe and specially constructed trays for holding 50 individual 5.9 mL Exetainers®. N</w:t>
      </w:r>
      <w:r w:rsidRPr="00AE1E33">
        <w:rPr>
          <w:vertAlign w:val="subscript"/>
        </w:rPr>
        <w:t>2</w:t>
      </w:r>
      <w:r w:rsidRPr="00AE1E33">
        <w:t xml:space="preserve">O (retention time 3.26 minutes) was quantified by comparison of peak area with that of four standards of known concentration (0.3, 1.5, 5 and 40 ppm), prepared by BOC (an industrial gases company) and used in the preparation of a standard curve, which </w:t>
      </w:r>
      <w:r>
        <w:rPr>
          <w:rFonts w:cstheme="minorHAnsi"/>
        </w:rPr>
        <w:t>—</w:t>
      </w:r>
      <w:r w:rsidRPr="00AE1E33">
        <w:t xml:space="preserve"> according to standard laboratory protocol </w:t>
      </w:r>
      <w:r>
        <w:rPr>
          <w:rFonts w:cstheme="minorHAnsi"/>
        </w:rPr>
        <w:t xml:space="preserve">— </w:t>
      </w:r>
      <w:r w:rsidRPr="00AE1E33">
        <w:t>was only accepted if the correlation coefficient</w:t>
      </w:r>
      <w:r w:rsidRPr="7C43E6F5">
        <w:t xml:space="preserve"> (R</w:t>
      </w:r>
      <w:r w:rsidRPr="7C43E6F5">
        <w:rPr>
          <w:vertAlign w:val="superscript"/>
        </w:rPr>
        <w:t>2</w:t>
      </w:r>
      <w:r w:rsidRPr="7C43E6F5">
        <w:t>) value was greater than 0.98; indicating the strongest relationship between the variables.</w:t>
      </w:r>
      <w:bookmarkEnd w:id="18"/>
    </w:p>
    <w:p w14:paraId="63E88306" w14:textId="77777777" w:rsidR="00667E2D" w:rsidRDefault="00667E2D" w:rsidP="00667E2D">
      <w:pPr>
        <w:pStyle w:val="Heading3"/>
      </w:pPr>
      <w:bookmarkStart w:id="19" w:name="_Toc204240466"/>
      <w:bookmarkStart w:id="20" w:name="_Toc212824084"/>
      <w:r>
        <w:t>Denitrification Dynamics: Calculation of Potential Denitrification Rates</w:t>
      </w:r>
      <w:bookmarkEnd w:id="19"/>
      <w:bookmarkEnd w:id="20"/>
    </w:p>
    <w:p w14:paraId="69F75AC3" w14:textId="77777777" w:rsidR="00667E2D" w:rsidRPr="008E2B49" w:rsidRDefault="00667E2D" w:rsidP="00667E2D">
      <w:pPr>
        <w:spacing w:after="0" w:line="240" w:lineRule="auto"/>
        <w:rPr>
          <w:rFonts w:cstheme="minorHAnsi"/>
          <w:szCs w:val="24"/>
        </w:rPr>
      </w:pPr>
      <w:bookmarkStart w:id="21" w:name="_Hlk193715287"/>
      <w:r w:rsidRPr="008E2B49">
        <w:rPr>
          <w:rFonts w:cstheme="minorHAnsi"/>
          <w:szCs w:val="24"/>
        </w:rPr>
        <w:t>We used the following set of equations to calculate denitrification rate:</w:t>
      </w:r>
    </w:p>
    <w:p w14:paraId="5161E605" w14:textId="77777777" w:rsidR="00667E2D" w:rsidRPr="008E2B49" w:rsidRDefault="00667E2D" w:rsidP="00667E2D">
      <w:pPr>
        <w:spacing w:after="0" w:line="240" w:lineRule="auto"/>
        <w:rPr>
          <w:rFonts w:cstheme="minorHAnsi"/>
          <w:szCs w:val="24"/>
        </w:rPr>
      </w:pPr>
    </w:p>
    <w:p w14:paraId="33C23F55" w14:textId="77777777" w:rsidR="00667E2D" w:rsidRPr="008E2B49" w:rsidRDefault="00667E2D" w:rsidP="00667E2D">
      <w:pPr>
        <w:spacing w:after="0" w:line="240" w:lineRule="auto"/>
        <w:rPr>
          <w:rFonts w:cstheme="minorHAnsi"/>
          <w:szCs w:val="24"/>
        </w:rPr>
      </w:pPr>
      <m:oMath>
        <m:r>
          <w:rPr>
            <w:rFonts w:ascii="Cambria Math" w:eastAsiaTheme="minorEastAsia" w:hAnsi="Cambria Math" w:cstheme="minorHAnsi"/>
            <w:szCs w:val="24"/>
          </w:rPr>
          <m:t xml:space="preserve">DR </m:t>
        </m:r>
        <m:d>
          <m:dPr>
            <m:ctrlPr>
              <w:rPr>
                <w:rFonts w:ascii="Cambria Math" w:eastAsiaTheme="minorEastAsia" w:hAnsi="Cambria Math" w:cstheme="minorHAnsi"/>
                <w:i/>
                <w:szCs w:val="24"/>
              </w:rPr>
            </m:ctrlPr>
          </m:dPr>
          <m:e>
            <m:r>
              <w:rPr>
                <w:rFonts w:ascii="Cambria Math" w:eastAsiaTheme="minorEastAsia" w:hAnsi="Cambria Math" w:cstheme="minorHAnsi"/>
                <w:szCs w:val="24"/>
              </w:rPr>
              <m:t xml:space="preserve">mg </m:t>
            </m:r>
            <m:sSup>
              <m:sSupPr>
                <m:ctrlPr>
                  <w:rPr>
                    <w:rFonts w:ascii="Cambria Math" w:eastAsiaTheme="minorEastAsia" w:hAnsi="Cambria Math" w:cstheme="minorHAnsi"/>
                    <w:i/>
                    <w:szCs w:val="24"/>
                  </w:rPr>
                </m:ctrlPr>
              </m:sSupPr>
              <m:e>
                <m:r>
                  <w:rPr>
                    <w:rFonts w:ascii="Cambria Math" w:eastAsiaTheme="minorEastAsia" w:hAnsi="Cambria Math" w:cstheme="minorHAnsi"/>
                    <w:szCs w:val="24"/>
                  </w:rPr>
                  <m:t>m</m:t>
                </m:r>
              </m:e>
              <m:sup>
                <m:r>
                  <w:rPr>
                    <w:rFonts w:ascii="Cambria Math" w:eastAsiaTheme="minorEastAsia" w:hAnsi="Cambria Math" w:cstheme="minorHAnsi"/>
                    <w:szCs w:val="24"/>
                  </w:rPr>
                  <m:t>-2</m:t>
                </m:r>
              </m:sup>
            </m:sSup>
            <m:sSup>
              <m:sSupPr>
                <m:ctrlPr>
                  <w:rPr>
                    <w:rFonts w:ascii="Cambria Math" w:eastAsiaTheme="minorEastAsia" w:hAnsi="Cambria Math" w:cstheme="minorHAnsi"/>
                    <w:i/>
                    <w:szCs w:val="24"/>
                  </w:rPr>
                </m:ctrlPr>
              </m:sSupPr>
              <m:e>
                <m:r>
                  <w:rPr>
                    <w:rFonts w:ascii="Cambria Math" w:eastAsiaTheme="minorEastAsia" w:hAnsi="Cambria Math" w:cstheme="minorHAnsi"/>
                    <w:szCs w:val="24"/>
                  </w:rPr>
                  <m:t>s</m:t>
                </m:r>
              </m:e>
              <m:sup>
                <m:r>
                  <w:rPr>
                    <w:rFonts w:ascii="Cambria Math" w:eastAsiaTheme="minorEastAsia" w:hAnsi="Cambria Math" w:cstheme="minorHAnsi"/>
                    <w:szCs w:val="24"/>
                  </w:rPr>
                  <m:t>-1</m:t>
                </m:r>
              </m:sup>
            </m:sSup>
          </m:e>
        </m:d>
        <m:r>
          <w:rPr>
            <w:rFonts w:ascii="Cambria Math" w:eastAsiaTheme="minorEastAsia" w:hAnsi="Cambria Math" w:cstheme="minorHAnsi"/>
            <w:szCs w:val="24"/>
          </w:rPr>
          <m:t>=</m:t>
        </m:r>
        <m:f>
          <m:fPr>
            <m:ctrlPr>
              <w:rPr>
                <w:rFonts w:ascii="Cambria Math" w:eastAsiaTheme="minorEastAsia" w:hAnsi="Cambria Math" w:cstheme="minorHAnsi"/>
                <w:i/>
                <w:szCs w:val="24"/>
              </w:rPr>
            </m:ctrlPr>
          </m:fPr>
          <m:num>
            <m:r>
              <w:rPr>
                <w:rFonts w:ascii="Cambria Math" w:eastAsiaTheme="minorEastAsia" w:hAnsi="Cambria Math" w:cstheme="minorHAnsi"/>
                <w:szCs w:val="24"/>
              </w:rPr>
              <m:t>TNP</m:t>
            </m:r>
          </m:num>
          <m:den>
            <m:r>
              <w:rPr>
                <w:rFonts w:ascii="Cambria Math" w:eastAsiaTheme="minorEastAsia" w:hAnsi="Cambria Math" w:cstheme="minorHAnsi"/>
                <w:szCs w:val="24"/>
              </w:rPr>
              <m:t>δt</m:t>
            </m:r>
          </m:den>
        </m:f>
        <m:r>
          <w:rPr>
            <w:rFonts w:ascii="Cambria Math" w:eastAsiaTheme="minorEastAsia" w:hAnsi="Cambria Math" w:cstheme="minorHAnsi"/>
            <w:szCs w:val="24"/>
          </w:rPr>
          <m:t>×(</m:t>
        </m:r>
        <m:f>
          <m:fPr>
            <m:ctrlPr>
              <w:rPr>
                <w:rFonts w:ascii="Cambria Math" w:eastAsiaTheme="minorEastAsia" w:hAnsi="Cambria Math" w:cstheme="minorHAnsi"/>
                <w:i/>
                <w:szCs w:val="24"/>
              </w:rPr>
            </m:ctrlPr>
          </m:fPr>
          <m:num>
            <m:r>
              <w:rPr>
                <w:rFonts w:ascii="Cambria Math" w:eastAsiaTheme="minorEastAsia" w:hAnsi="Cambria Math" w:cstheme="minorHAnsi"/>
                <w:szCs w:val="24"/>
              </w:rPr>
              <m:t>V×M</m:t>
            </m:r>
          </m:num>
          <m:den>
            <m:r>
              <w:rPr>
                <w:rFonts w:ascii="Cambria Math" w:eastAsiaTheme="minorEastAsia" w:hAnsi="Cambria Math" w:cstheme="minorHAnsi"/>
                <w:szCs w:val="24"/>
              </w:rPr>
              <m:t>S×</m:t>
            </m:r>
            <m:sSub>
              <m:sSubPr>
                <m:ctrlPr>
                  <w:rPr>
                    <w:rFonts w:ascii="Cambria Math" w:eastAsiaTheme="minorEastAsia" w:hAnsi="Cambria Math" w:cstheme="minorHAnsi"/>
                    <w:i/>
                    <w:szCs w:val="24"/>
                  </w:rPr>
                </m:ctrlPr>
              </m:sSubPr>
              <m:e>
                <m:r>
                  <w:rPr>
                    <w:rFonts w:ascii="Cambria Math" w:eastAsiaTheme="minorEastAsia" w:hAnsi="Cambria Math" w:cstheme="minorHAnsi"/>
                    <w:szCs w:val="24"/>
                  </w:rPr>
                  <m:t>V</m:t>
                </m:r>
              </m:e>
              <m:sub>
                <m:r>
                  <w:rPr>
                    <w:rFonts w:ascii="Cambria Math" w:eastAsiaTheme="minorEastAsia" w:hAnsi="Cambria Math" w:cstheme="minorHAnsi"/>
                    <w:szCs w:val="24"/>
                  </w:rPr>
                  <m:t>mol</m:t>
                </m:r>
              </m:sub>
            </m:sSub>
          </m:den>
        </m:f>
        <m:r>
          <w:rPr>
            <w:rFonts w:ascii="Cambria Math" w:eastAsiaTheme="minorEastAsia" w:hAnsi="Cambria Math" w:cstheme="minorHAnsi"/>
            <w:szCs w:val="24"/>
          </w:rPr>
          <m:t>)</m:t>
        </m:r>
      </m:oMath>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b/>
          <w:bCs/>
          <w:szCs w:val="24"/>
        </w:rPr>
        <w:t>Equation [1]</w:t>
      </w:r>
    </w:p>
    <w:p w14:paraId="3E0480D6" w14:textId="77777777" w:rsidR="00667E2D" w:rsidRPr="008E2B49" w:rsidRDefault="00667E2D" w:rsidP="00667E2D">
      <w:pPr>
        <w:spacing w:after="0" w:line="240" w:lineRule="auto"/>
        <w:rPr>
          <w:rFonts w:cstheme="minorHAnsi"/>
          <w:szCs w:val="24"/>
        </w:rPr>
      </w:pPr>
    </w:p>
    <w:p w14:paraId="4DCF6D3B" w14:textId="77777777" w:rsidR="00667E2D" w:rsidRPr="008E2B49" w:rsidRDefault="00667E2D" w:rsidP="00667E2D">
      <w:pPr>
        <w:spacing w:after="0" w:line="240" w:lineRule="auto"/>
        <w:rPr>
          <w:rFonts w:cstheme="minorHAnsi"/>
          <w:szCs w:val="24"/>
        </w:rPr>
      </w:pPr>
      <w:r w:rsidRPr="008E2B49">
        <w:rPr>
          <w:rFonts w:cstheme="minorHAnsi"/>
          <w:szCs w:val="24"/>
        </w:rPr>
        <w:t xml:space="preserve">where: </w:t>
      </w:r>
    </w:p>
    <w:p w14:paraId="299E41F5" w14:textId="77777777" w:rsidR="00667E2D" w:rsidRPr="001510A4" w:rsidRDefault="00667E2D" w:rsidP="00667E2D">
      <w:pPr>
        <w:pStyle w:val="ListParagraph"/>
        <w:numPr>
          <w:ilvl w:val="0"/>
          <w:numId w:val="3"/>
        </w:numPr>
        <w:spacing w:after="0" w:line="240" w:lineRule="auto"/>
      </w:pPr>
      <w:r w:rsidRPr="19DEE6EB">
        <w:rPr>
          <w:i/>
        </w:rPr>
        <w:t>DR</w:t>
      </w:r>
      <w:r w:rsidRPr="19DEE6EB">
        <w:t xml:space="preserve">: Denitrification rate </w:t>
      </w:r>
      <w:r w:rsidRPr="001510A4">
        <w:t>(mg N</w:t>
      </w:r>
      <w:r w:rsidRPr="001510A4">
        <w:rPr>
          <w:vertAlign w:val="subscript"/>
        </w:rPr>
        <w:t>2</w:t>
      </w:r>
      <w:r w:rsidRPr="001510A4">
        <w:t>O m</w:t>
      </w:r>
      <w:r w:rsidRPr="001510A4">
        <w:rPr>
          <w:vertAlign w:val="superscript"/>
        </w:rPr>
        <w:t>-2</w:t>
      </w:r>
      <w:r w:rsidRPr="001510A4">
        <w:t xml:space="preserve"> s</w:t>
      </w:r>
      <w:r w:rsidRPr="001510A4">
        <w:rPr>
          <w:vertAlign w:val="superscript"/>
        </w:rPr>
        <w:t>-1</w:t>
      </w:r>
      <w:r w:rsidRPr="001510A4">
        <w:t>)</w:t>
      </w:r>
    </w:p>
    <w:p w14:paraId="37551F75" w14:textId="77777777" w:rsidR="00667E2D" w:rsidRPr="008E2B49" w:rsidRDefault="00667E2D" w:rsidP="00667E2D">
      <w:pPr>
        <w:pStyle w:val="ListParagraph"/>
        <w:numPr>
          <w:ilvl w:val="0"/>
          <w:numId w:val="3"/>
        </w:numPr>
        <w:spacing w:after="0" w:line="240" w:lineRule="auto"/>
        <w:rPr>
          <w:rFonts w:cstheme="minorHAnsi"/>
          <w:szCs w:val="24"/>
        </w:rPr>
      </w:pPr>
      <w:r w:rsidRPr="008E2B49">
        <w:rPr>
          <w:rFonts w:cstheme="minorHAnsi"/>
          <w:i/>
          <w:iCs/>
          <w:szCs w:val="24"/>
        </w:rPr>
        <w:t>TNP</w:t>
      </w:r>
      <w:r w:rsidRPr="008E2B49">
        <w:rPr>
          <w:rFonts w:cstheme="minorHAnsi"/>
          <w:szCs w:val="24"/>
        </w:rPr>
        <w:t>: Total N</w:t>
      </w:r>
      <w:r w:rsidRPr="008E2B49">
        <w:rPr>
          <w:rFonts w:cstheme="minorHAnsi"/>
          <w:szCs w:val="24"/>
          <w:vertAlign w:val="subscript"/>
        </w:rPr>
        <w:t>2</w:t>
      </w:r>
      <w:r w:rsidRPr="008E2B49">
        <w:rPr>
          <w:rFonts w:cstheme="minorHAnsi"/>
          <w:szCs w:val="24"/>
        </w:rPr>
        <w:t>O produced (mg)</w:t>
      </w:r>
    </w:p>
    <w:p w14:paraId="57A4A1F8" w14:textId="77777777" w:rsidR="00667E2D" w:rsidRPr="008E2B49" w:rsidRDefault="00667E2D" w:rsidP="00667E2D">
      <w:pPr>
        <w:pStyle w:val="ListParagraph"/>
        <w:numPr>
          <w:ilvl w:val="0"/>
          <w:numId w:val="3"/>
        </w:numPr>
        <w:spacing w:after="0" w:line="240" w:lineRule="auto"/>
        <w:rPr>
          <w:rFonts w:cstheme="minorHAnsi"/>
          <w:szCs w:val="24"/>
        </w:rPr>
      </w:pPr>
      <w:proofErr w:type="spellStart"/>
      <w:r w:rsidRPr="008E2B49">
        <w:rPr>
          <w:rFonts w:cstheme="minorHAnsi"/>
          <w:i/>
          <w:iCs/>
          <w:szCs w:val="24"/>
        </w:rPr>
        <w:t>δt</w:t>
      </w:r>
      <w:proofErr w:type="spellEnd"/>
      <w:r w:rsidRPr="008E2B49">
        <w:rPr>
          <w:rFonts w:cstheme="minorHAnsi"/>
          <w:szCs w:val="24"/>
        </w:rPr>
        <w:t>: Change in time between first and second measurement (seconds (s))</w:t>
      </w:r>
    </w:p>
    <w:p w14:paraId="61E69875" w14:textId="77777777" w:rsidR="00667E2D" w:rsidRPr="008E2B49" w:rsidRDefault="00667E2D" w:rsidP="00667E2D">
      <w:pPr>
        <w:pStyle w:val="ListParagraph"/>
        <w:numPr>
          <w:ilvl w:val="0"/>
          <w:numId w:val="3"/>
        </w:numPr>
        <w:spacing w:after="0" w:line="240" w:lineRule="auto"/>
        <w:rPr>
          <w:rFonts w:cstheme="minorHAnsi"/>
          <w:szCs w:val="24"/>
        </w:rPr>
      </w:pPr>
      <w:r w:rsidRPr="008E2B49">
        <w:rPr>
          <w:rFonts w:cstheme="minorHAnsi"/>
          <w:i/>
          <w:iCs/>
          <w:szCs w:val="24"/>
        </w:rPr>
        <w:t>V</w:t>
      </w:r>
      <w:r w:rsidRPr="008E2B49">
        <w:rPr>
          <w:rFonts w:cstheme="minorHAnsi"/>
          <w:szCs w:val="24"/>
        </w:rPr>
        <w:t>: Volume of headspace in chamber (m</w:t>
      </w:r>
      <w:r w:rsidRPr="008E2B49">
        <w:rPr>
          <w:rFonts w:cstheme="minorHAnsi"/>
          <w:szCs w:val="24"/>
          <w:vertAlign w:val="superscript"/>
        </w:rPr>
        <w:t>3</w:t>
      </w:r>
      <w:r w:rsidRPr="008E2B49">
        <w:rPr>
          <w:rFonts w:cstheme="minorHAnsi"/>
          <w:szCs w:val="24"/>
        </w:rPr>
        <w:t>)</w:t>
      </w:r>
    </w:p>
    <w:p w14:paraId="6673B9E3" w14:textId="77777777" w:rsidR="00667E2D" w:rsidRPr="008E2B49" w:rsidRDefault="00667E2D" w:rsidP="00667E2D">
      <w:pPr>
        <w:pStyle w:val="ListParagraph"/>
        <w:numPr>
          <w:ilvl w:val="0"/>
          <w:numId w:val="3"/>
        </w:numPr>
        <w:spacing w:after="0" w:line="240" w:lineRule="auto"/>
        <w:rPr>
          <w:rFonts w:cstheme="minorHAnsi"/>
          <w:szCs w:val="24"/>
        </w:rPr>
      </w:pPr>
      <w:r w:rsidRPr="008E2B49">
        <w:rPr>
          <w:rFonts w:cstheme="minorHAnsi"/>
          <w:i/>
          <w:iCs/>
          <w:szCs w:val="24"/>
        </w:rPr>
        <w:t>M</w:t>
      </w:r>
      <w:r w:rsidRPr="008E2B49">
        <w:rPr>
          <w:rFonts w:cstheme="minorHAnsi"/>
          <w:szCs w:val="24"/>
        </w:rPr>
        <w:t>: Molecular weight of gas (mol)</w:t>
      </w:r>
    </w:p>
    <w:p w14:paraId="00AF1D33" w14:textId="77777777" w:rsidR="00667E2D" w:rsidRPr="008E2B49" w:rsidRDefault="00667E2D" w:rsidP="00667E2D">
      <w:pPr>
        <w:pStyle w:val="ListParagraph"/>
        <w:numPr>
          <w:ilvl w:val="0"/>
          <w:numId w:val="3"/>
        </w:numPr>
        <w:spacing w:after="0" w:line="240" w:lineRule="auto"/>
        <w:rPr>
          <w:rFonts w:cstheme="minorHAnsi"/>
          <w:szCs w:val="24"/>
        </w:rPr>
      </w:pPr>
      <w:r w:rsidRPr="008E2B49">
        <w:rPr>
          <w:rFonts w:cstheme="minorHAnsi"/>
          <w:i/>
          <w:iCs/>
          <w:szCs w:val="24"/>
        </w:rPr>
        <w:t>S</w:t>
      </w:r>
      <w:r w:rsidRPr="008E2B49">
        <w:rPr>
          <w:rFonts w:cstheme="minorHAnsi"/>
          <w:szCs w:val="24"/>
        </w:rPr>
        <w:t>: Area of core (m</w:t>
      </w:r>
      <w:r w:rsidRPr="008E2B49">
        <w:rPr>
          <w:rFonts w:cstheme="minorHAnsi"/>
          <w:szCs w:val="24"/>
          <w:vertAlign w:val="superscript"/>
        </w:rPr>
        <w:t>2</w:t>
      </w:r>
      <w:r w:rsidRPr="008E2B49">
        <w:rPr>
          <w:rFonts w:cstheme="minorHAnsi"/>
          <w:szCs w:val="24"/>
        </w:rPr>
        <w:t>)</w:t>
      </w:r>
    </w:p>
    <w:p w14:paraId="58FFD7F0" w14:textId="77777777" w:rsidR="00667E2D" w:rsidRPr="008E2B49" w:rsidRDefault="00667E2D" w:rsidP="00667E2D">
      <w:pPr>
        <w:pStyle w:val="ListParagraph"/>
        <w:numPr>
          <w:ilvl w:val="0"/>
          <w:numId w:val="3"/>
        </w:numPr>
        <w:spacing w:after="0" w:line="240" w:lineRule="auto"/>
        <w:rPr>
          <w:rFonts w:cstheme="minorHAnsi"/>
          <w:szCs w:val="24"/>
        </w:rPr>
      </w:pPr>
      <w:proofErr w:type="spellStart"/>
      <w:r w:rsidRPr="008E2B49">
        <w:rPr>
          <w:rFonts w:cstheme="minorHAnsi"/>
          <w:i/>
          <w:iCs/>
          <w:szCs w:val="24"/>
        </w:rPr>
        <w:t>V</w:t>
      </w:r>
      <w:r w:rsidRPr="008E2B49">
        <w:rPr>
          <w:rFonts w:cstheme="minorHAnsi"/>
          <w:i/>
          <w:iCs/>
          <w:szCs w:val="24"/>
          <w:vertAlign w:val="subscript"/>
        </w:rPr>
        <w:t>mol</w:t>
      </w:r>
      <w:proofErr w:type="spellEnd"/>
      <w:r w:rsidRPr="008E2B49">
        <w:rPr>
          <w:rFonts w:cstheme="minorHAnsi"/>
          <w:szCs w:val="24"/>
        </w:rPr>
        <w:t>: Volume of a mol of gas at a given temperature (m</w:t>
      </w:r>
      <w:r w:rsidRPr="008E2B49">
        <w:rPr>
          <w:rFonts w:cstheme="minorHAnsi"/>
          <w:szCs w:val="24"/>
          <w:vertAlign w:val="superscript"/>
        </w:rPr>
        <w:t>3</w:t>
      </w:r>
      <w:r w:rsidRPr="008E2B49">
        <w:rPr>
          <w:rFonts w:cstheme="minorHAnsi"/>
          <w:szCs w:val="24"/>
        </w:rPr>
        <w:t xml:space="preserve"> mol</w:t>
      </w:r>
      <w:r w:rsidRPr="008E2B49">
        <w:rPr>
          <w:rFonts w:cstheme="minorHAnsi"/>
          <w:szCs w:val="24"/>
          <w:vertAlign w:val="superscript"/>
        </w:rPr>
        <w:t>-1</w:t>
      </w:r>
      <w:r w:rsidRPr="008E2B49">
        <w:rPr>
          <w:rFonts w:cstheme="minorHAnsi"/>
          <w:szCs w:val="24"/>
        </w:rPr>
        <w:t>)</w:t>
      </w:r>
    </w:p>
    <w:p w14:paraId="6A0BE4AF" w14:textId="77777777" w:rsidR="00667E2D" w:rsidRPr="008E2B49" w:rsidRDefault="00667E2D" w:rsidP="00667E2D">
      <w:pPr>
        <w:spacing w:after="0" w:line="240" w:lineRule="auto"/>
        <w:contextualSpacing/>
        <w:rPr>
          <w:rFonts w:cstheme="minorHAnsi"/>
          <w:szCs w:val="24"/>
        </w:rPr>
      </w:pPr>
    </w:p>
    <w:p w14:paraId="6550F25A" w14:textId="77777777" w:rsidR="00667E2D" w:rsidRPr="008E2B49" w:rsidRDefault="00667E2D" w:rsidP="00667E2D">
      <w:pPr>
        <w:spacing w:after="0" w:line="240" w:lineRule="auto"/>
        <w:contextualSpacing/>
        <w:rPr>
          <w:rFonts w:cstheme="minorHAnsi"/>
          <w:szCs w:val="24"/>
        </w:rPr>
      </w:pPr>
      <w:r w:rsidRPr="008E2B49">
        <w:rPr>
          <w:rFonts w:cstheme="minorHAnsi"/>
          <w:szCs w:val="24"/>
        </w:rPr>
        <w:t xml:space="preserve">where </w:t>
      </w:r>
      <w:proofErr w:type="spellStart"/>
      <w:r w:rsidRPr="008E2B49">
        <w:rPr>
          <w:rFonts w:cstheme="minorHAnsi"/>
          <w:i/>
          <w:iCs/>
          <w:szCs w:val="24"/>
        </w:rPr>
        <w:t>V</w:t>
      </w:r>
      <w:r w:rsidRPr="008E2B49">
        <w:rPr>
          <w:rFonts w:cstheme="minorHAnsi"/>
          <w:i/>
          <w:iCs/>
          <w:szCs w:val="24"/>
          <w:vertAlign w:val="subscript"/>
        </w:rPr>
        <w:t>mol</w:t>
      </w:r>
      <w:proofErr w:type="spellEnd"/>
      <w:r w:rsidRPr="008E2B49">
        <w:rPr>
          <w:rFonts w:cstheme="minorHAnsi"/>
          <w:szCs w:val="24"/>
        </w:rPr>
        <w:t xml:space="preserve"> is given by:</w:t>
      </w:r>
    </w:p>
    <w:p w14:paraId="6D6E4C4C" w14:textId="77777777" w:rsidR="00667E2D" w:rsidRPr="008E2B49" w:rsidRDefault="00667E2D" w:rsidP="00667E2D">
      <w:pPr>
        <w:spacing w:after="0" w:line="240" w:lineRule="auto"/>
        <w:contextualSpacing/>
        <w:rPr>
          <w:rFonts w:cstheme="minorHAnsi"/>
          <w:szCs w:val="24"/>
        </w:rPr>
      </w:pPr>
    </w:p>
    <w:p w14:paraId="3B71E523" w14:textId="77777777" w:rsidR="00667E2D" w:rsidRPr="008E2B49" w:rsidRDefault="00000000" w:rsidP="00667E2D">
      <w:pPr>
        <w:spacing w:after="0" w:line="240" w:lineRule="auto"/>
        <w:rPr>
          <w:rFonts w:eastAsiaTheme="minorEastAsia" w:cstheme="minorHAnsi"/>
          <w:szCs w:val="24"/>
        </w:rPr>
      </w:pPr>
      <m:oMath>
        <m:sSub>
          <m:sSubPr>
            <m:ctrlPr>
              <w:rPr>
                <w:rFonts w:ascii="Cambria Math" w:hAnsi="Cambria Math" w:cstheme="minorHAnsi"/>
                <w:i/>
                <w:szCs w:val="24"/>
              </w:rPr>
            </m:ctrlPr>
          </m:sSubPr>
          <m:e>
            <m:r>
              <w:rPr>
                <w:rFonts w:ascii="Cambria Math" w:hAnsi="Cambria Math" w:cstheme="minorHAnsi"/>
                <w:szCs w:val="24"/>
              </w:rPr>
              <m:t>V</m:t>
            </m:r>
          </m:e>
          <m:sub>
            <m:r>
              <w:rPr>
                <w:rFonts w:ascii="Cambria Math" w:hAnsi="Cambria Math" w:cstheme="minorHAnsi"/>
                <w:szCs w:val="24"/>
              </w:rPr>
              <m:t>mol</m:t>
            </m:r>
          </m:sub>
        </m:sSub>
        <m:r>
          <w:rPr>
            <w:rFonts w:ascii="Cambria Math" w:hAnsi="Cambria Math" w:cstheme="minorHAnsi"/>
            <w:szCs w:val="24"/>
          </w:rPr>
          <m:t>=p×(R×K)</m:t>
        </m:r>
      </m:oMath>
      <w:r w:rsidR="00667E2D" w:rsidRPr="008E2B49">
        <w:rPr>
          <w:rFonts w:eastAsiaTheme="minorEastAsia" w:cstheme="minorHAnsi"/>
          <w:szCs w:val="24"/>
        </w:rPr>
        <w:tab/>
      </w:r>
      <w:r w:rsidR="00667E2D" w:rsidRPr="008E2B49">
        <w:rPr>
          <w:rFonts w:eastAsiaTheme="minorEastAsia" w:cstheme="minorHAnsi"/>
          <w:szCs w:val="24"/>
        </w:rPr>
        <w:tab/>
      </w:r>
      <w:r w:rsidR="00667E2D" w:rsidRPr="008E2B49">
        <w:rPr>
          <w:rFonts w:eastAsiaTheme="minorEastAsia" w:cstheme="minorHAnsi"/>
          <w:szCs w:val="24"/>
        </w:rPr>
        <w:tab/>
      </w:r>
      <w:r w:rsidR="00667E2D" w:rsidRPr="008E2B49">
        <w:rPr>
          <w:rFonts w:eastAsiaTheme="minorEastAsia" w:cstheme="minorHAnsi"/>
          <w:szCs w:val="24"/>
        </w:rPr>
        <w:tab/>
      </w:r>
      <w:r w:rsidR="00667E2D" w:rsidRPr="008E2B49">
        <w:rPr>
          <w:rFonts w:eastAsiaTheme="minorEastAsia" w:cstheme="minorHAnsi"/>
          <w:szCs w:val="24"/>
        </w:rPr>
        <w:tab/>
      </w:r>
      <w:r w:rsidR="00667E2D" w:rsidRPr="008E2B49">
        <w:rPr>
          <w:rFonts w:eastAsiaTheme="minorEastAsia" w:cstheme="minorHAnsi"/>
          <w:szCs w:val="24"/>
        </w:rPr>
        <w:tab/>
      </w:r>
      <w:r w:rsidR="00667E2D" w:rsidRPr="008E2B49">
        <w:rPr>
          <w:rFonts w:eastAsiaTheme="minorEastAsia" w:cstheme="minorHAnsi"/>
          <w:szCs w:val="24"/>
        </w:rPr>
        <w:tab/>
      </w:r>
      <w:r w:rsidR="00667E2D" w:rsidRPr="008E2B49">
        <w:rPr>
          <w:rFonts w:eastAsiaTheme="minorEastAsia" w:cstheme="minorHAnsi"/>
          <w:b/>
          <w:bCs/>
          <w:szCs w:val="24"/>
        </w:rPr>
        <w:t>Equation [2]</w:t>
      </w:r>
    </w:p>
    <w:p w14:paraId="1B704E5A" w14:textId="77777777" w:rsidR="00667E2D" w:rsidRPr="008E2B49" w:rsidRDefault="00667E2D" w:rsidP="00667E2D">
      <w:pPr>
        <w:pStyle w:val="ListParagraph"/>
        <w:numPr>
          <w:ilvl w:val="0"/>
          <w:numId w:val="4"/>
        </w:numPr>
        <w:spacing w:after="0" w:line="240" w:lineRule="auto"/>
        <w:rPr>
          <w:rFonts w:cstheme="minorHAnsi"/>
          <w:szCs w:val="24"/>
        </w:rPr>
      </w:pPr>
      <w:r w:rsidRPr="008E2B49">
        <w:rPr>
          <w:rFonts w:cstheme="minorHAnsi"/>
          <w:i/>
          <w:iCs/>
          <w:szCs w:val="24"/>
        </w:rPr>
        <w:t>p</w:t>
      </w:r>
      <w:r w:rsidRPr="008E2B49">
        <w:rPr>
          <w:rFonts w:cstheme="minorHAnsi"/>
          <w:szCs w:val="24"/>
        </w:rPr>
        <w:t>: Pressure (kPa)</w:t>
      </w:r>
    </w:p>
    <w:p w14:paraId="3E7A95FB" w14:textId="77777777" w:rsidR="00667E2D" w:rsidRPr="008E2B49" w:rsidRDefault="00667E2D" w:rsidP="00667E2D">
      <w:pPr>
        <w:pStyle w:val="ListParagraph"/>
        <w:numPr>
          <w:ilvl w:val="0"/>
          <w:numId w:val="4"/>
        </w:numPr>
        <w:spacing w:after="0" w:line="240" w:lineRule="auto"/>
        <w:rPr>
          <w:rFonts w:cstheme="minorHAnsi"/>
          <w:szCs w:val="24"/>
        </w:rPr>
      </w:pPr>
      <w:r w:rsidRPr="008E2B49">
        <w:rPr>
          <w:rFonts w:cstheme="minorHAnsi"/>
          <w:i/>
          <w:iCs/>
          <w:szCs w:val="24"/>
        </w:rPr>
        <w:t>R</w:t>
      </w:r>
      <w:r w:rsidRPr="008E2B49">
        <w:rPr>
          <w:rFonts w:cstheme="minorHAnsi"/>
          <w:szCs w:val="24"/>
        </w:rPr>
        <w:t>: Equal to ideal gas constant (8.314)</w:t>
      </w:r>
    </w:p>
    <w:p w14:paraId="7FD89C5D" w14:textId="77777777" w:rsidR="00667E2D" w:rsidRPr="008E2B49" w:rsidRDefault="00667E2D" w:rsidP="00667E2D">
      <w:pPr>
        <w:pStyle w:val="ListParagraph"/>
        <w:numPr>
          <w:ilvl w:val="0"/>
          <w:numId w:val="4"/>
        </w:numPr>
        <w:spacing w:after="0" w:line="240" w:lineRule="auto"/>
        <w:rPr>
          <w:rFonts w:cstheme="minorHAnsi"/>
          <w:szCs w:val="24"/>
        </w:rPr>
      </w:pPr>
      <w:r w:rsidRPr="008E2B49">
        <w:rPr>
          <w:rFonts w:cstheme="minorHAnsi"/>
          <w:i/>
          <w:iCs/>
          <w:szCs w:val="24"/>
        </w:rPr>
        <w:t>K</w:t>
      </w:r>
      <w:r w:rsidRPr="008E2B49">
        <w:rPr>
          <w:rFonts w:cstheme="minorHAnsi"/>
          <w:szCs w:val="24"/>
        </w:rPr>
        <w:t>: Temperature (Kelvin)</w:t>
      </w:r>
    </w:p>
    <w:p w14:paraId="33F3A85A" w14:textId="77777777" w:rsidR="00667E2D" w:rsidRPr="008E2B49" w:rsidRDefault="00667E2D" w:rsidP="00667E2D">
      <w:pPr>
        <w:spacing w:after="0" w:line="240" w:lineRule="auto"/>
        <w:rPr>
          <w:rFonts w:cstheme="minorHAnsi"/>
          <w:szCs w:val="24"/>
        </w:rPr>
      </w:pPr>
    </w:p>
    <w:p w14:paraId="258E553F" w14:textId="77777777" w:rsidR="00667E2D" w:rsidRPr="008E2B49" w:rsidRDefault="00667E2D" w:rsidP="00667E2D">
      <w:pPr>
        <w:spacing w:after="0" w:line="240" w:lineRule="auto"/>
        <w:rPr>
          <w:rFonts w:cstheme="minorHAnsi"/>
          <w:szCs w:val="24"/>
        </w:rPr>
      </w:pPr>
      <w:r w:rsidRPr="008E2B49">
        <w:rPr>
          <w:rFonts w:cstheme="minorHAnsi"/>
          <w:szCs w:val="24"/>
        </w:rPr>
        <w:t>where Total N</w:t>
      </w:r>
      <w:r w:rsidRPr="008E2B49">
        <w:rPr>
          <w:rFonts w:cstheme="minorHAnsi"/>
          <w:szCs w:val="24"/>
          <w:vertAlign w:val="subscript"/>
        </w:rPr>
        <w:t>2</w:t>
      </w:r>
      <w:r w:rsidRPr="008E2B49">
        <w:rPr>
          <w:rFonts w:cstheme="minorHAnsi"/>
          <w:szCs w:val="24"/>
        </w:rPr>
        <w:t>O produced (</w:t>
      </w:r>
      <w:r w:rsidRPr="008E2B49">
        <w:rPr>
          <w:rFonts w:cstheme="minorHAnsi"/>
          <w:i/>
          <w:iCs/>
          <w:szCs w:val="24"/>
        </w:rPr>
        <w:t>TNP</w:t>
      </w:r>
      <w:r w:rsidRPr="008E2B49">
        <w:rPr>
          <w:rFonts w:cstheme="minorHAnsi"/>
          <w:szCs w:val="24"/>
        </w:rPr>
        <w:t>) is given by:</w:t>
      </w:r>
    </w:p>
    <w:p w14:paraId="60690F7A" w14:textId="77777777" w:rsidR="00667E2D" w:rsidRPr="008E2B49" w:rsidRDefault="00667E2D" w:rsidP="00667E2D">
      <w:pPr>
        <w:spacing w:after="0" w:line="240" w:lineRule="auto"/>
        <w:rPr>
          <w:rFonts w:cstheme="minorHAnsi"/>
          <w:szCs w:val="24"/>
        </w:rPr>
      </w:pPr>
    </w:p>
    <w:p w14:paraId="3983A100" w14:textId="77777777" w:rsidR="00667E2D" w:rsidRPr="008E2B49" w:rsidRDefault="00667E2D" w:rsidP="00667E2D">
      <w:pPr>
        <w:spacing w:after="0" w:line="240" w:lineRule="auto"/>
        <w:rPr>
          <w:rFonts w:eastAsiaTheme="minorEastAsia" w:cstheme="minorHAnsi"/>
          <w:b/>
          <w:bCs/>
          <w:szCs w:val="24"/>
        </w:rPr>
      </w:pPr>
      <m:oMath>
        <m:r>
          <w:rPr>
            <w:rFonts w:ascii="Cambria Math" w:hAnsi="Cambria Math" w:cstheme="minorHAnsi"/>
            <w:szCs w:val="24"/>
          </w:rPr>
          <m:t>TNP=(Ksp×m×W:Hs)+m</m:t>
        </m:r>
      </m:oMath>
      <w:r w:rsidRPr="008E2B49">
        <w:rPr>
          <w:rFonts w:eastAsiaTheme="minorEastAsia" w:cstheme="minorHAnsi"/>
          <w:szCs w:val="24"/>
        </w:rPr>
        <w:t xml:space="preserve"> </w:t>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b/>
          <w:bCs/>
          <w:szCs w:val="24"/>
        </w:rPr>
        <w:t>Equation [3]</w:t>
      </w:r>
    </w:p>
    <w:p w14:paraId="09C44323" w14:textId="77777777" w:rsidR="00667E2D" w:rsidRPr="008E2B49" w:rsidRDefault="00667E2D" w:rsidP="00667E2D">
      <w:pPr>
        <w:spacing w:after="0" w:line="240" w:lineRule="auto"/>
        <w:rPr>
          <w:rFonts w:eastAsiaTheme="minorEastAsia" w:cstheme="minorHAnsi"/>
          <w:szCs w:val="24"/>
        </w:rPr>
      </w:pPr>
    </w:p>
    <w:p w14:paraId="495049CA" w14:textId="77777777" w:rsidR="00667E2D" w:rsidRPr="008E2B49" w:rsidRDefault="00667E2D" w:rsidP="00667E2D">
      <w:pPr>
        <w:pStyle w:val="ListParagraph"/>
        <w:numPr>
          <w:ilvl w:val="0"/>
          <w:numId w:val="2"/>
        </w:numPr>
        <w:spacing w:after="0" w:line="240" w:lineRule="auto"/>
        <w:rPr>
          <w:rFonts w:cstheme="minorHAnsi"/>
          <w:szCs w:val="24"/>
        </w:rPr>
      </w:pPr>
      <w:proofErr w:type="spellStart"/>
      <w:r w:rsidRPr="008E2B49">
        <w:rPr>
          <w:rFonts w:cstheme="minorHAnsi"/>
          <w:i/>
          <w:iCs/>
          <w:szCs w:val="24"/>
        </w:rPr>
        <w:t>Ksp</w:t>
      </w:r>
      <w:proofErr w:type="spellEnd"/>
      <w:r w:rsidRPr="008E2B49">
        <w:rPr>
          <w:rFonts w:cstheme="minorHAnsi"/>
          <w:szCs w:val="24"/>
        </w:rPr>
        <w:t>: N</w:t>
      </w:r>
      <w:r w:rsidRPr="008E2B49">
        <w:rPr>
          <w:rFonts w:cstheme="minorHAnsi"/>
          <w:szCs w:val="24"/>
          <w:vertAlign w:val="subscript"/>
        </w:rPr>
        <w:t>2</w:t>
      </w:r>
      <w:r w:rsidRPr="008E2B49">
        <w:rPr>
          <w:rFonts w:cstheme="minorHAnsi"/>
          <w:szCs w:val="24"/>
        </w:rPr>
        <w:t>O solubility</w:t>
      </w:r>
    </w:p>
    <w:p w14:paraId="282BAD71" w14:textId="77777777" w:rsidR="00667E2D" w:rsidRPr="008E2B49" w:rsidRDefault="00667E2D" w:rsidP="00667E2D">
      <w:pPr>
        <w:pStyle w:val="ListParagraph"/>
        <w:numPr>
          <w:ilvl w:val="0"/>
          <w:numId w:val="2"/>
        </w:numPr>
        <w:spacing w:after="0" w:line="240" w:lineRule="auto"/>
        <w:rPr>
          <w:rFonts w:cstheme="minorHAnsi"/>
          <w:szCs w:val="24"/>
        </w:rPr>
      </w:pPr>
      <w:r w:rsidRPr="008E2B49">
        <w:rPr>
          <w:rFonts w:cstheme="minorHAnsi"/>
          <w:i/>
          <w:iCs/>
          <w:szCs w:val="24"/>
        </w:rPr>
        <w:t>m</w:t>
      </w:r>
      <w:r w:rsidRPr="008E2B49">
        <w:rPr>
          <w:rFonts w:cstheme="minorHAnsi"/>
          <w:szCs w:val="24"/>
        </w:rPr>
        <w:t>: Mass of N</w:t>
      </w:r>
      <w:r w:rsidRPr="008E2B49">
        <w:rPr>
          <w:rFonts w:cstheme="minorHAnsi"/>
          <w:szCs w:val="24"/>
          <w:vertAlign w:val="subscript"/>
        </w:rPr>
        <w:t>2</w:t>
      </w:r>
      <w:r w:rsidRPr="008E2B49">
        <w:rPr>
          <w:rFonts w:cstheme="minorHAnsi"/>
          <w:szCs w:val="24"/>
        </w:rPr>
        <w:t>O in headspace (mg)</w:t>
      </w:r>
    </w:p>
    <w:p w14:paraId="2EA98079" w14:textId="77777777" w:rsidR="00667E2D" w:rsidRPr="008E2B49" w:rsidRDefault="00667E2D" w:rsidP="00667E2D">
      <w:pPr>
        <w:pStyle w:val="ListParagraph"/>
        <w:numPr>
          <w:ilvl w:val="0"/>
          <w:numId w:val="2"/>
        </w:numPr>
        <w:spacing w:after="0" w:line="240" w:lineRule="auto"/>
      </w:pPr>
      <w:r w:rsidRPr="2E1D4BE3">
        <w:rPr>
          <w:i/>
        </w:rPr>
        <w:t>W:Hs</w:t>
      </w:r>
      <w:r w:rsidRPr="2E1D4BE3">
        <w:t>: Ratio of water to headspace</w:t>
      </w:r>
    </w:p>
    <w:p w14:paraId="37B2732E" w14:textId="77777777" w:rsidR="00667E2D" w:rsidRPr="008E2B49" w:rsidRDefault="00667E2D" w:rsidP="00667E2D">
      <w:pPr>
        <w:pStyle w:val="ListParagraph"/>
        <w:spacing w:after="0" w:line="240" w:lineRule="auto"/>
        <w:rPr>
          <w:rFonts w:cstheme="minorHAnsi"/>
          <w:szCs w:val="24"/>
        </w:rPr>
      </w:pPr>
    </w:p>
    <w:p w14:paraId="53F981A7" w14:textId="77777777" w:rsidR="00667E2D" w:rsidRPr="008E2B49" w:rsidRDefault="00667E2D" w:rsidP="00667E2D">
      <w:pPr>
        <w:spacing w:after="0" w:line="240" w:lineRule="auto"/>
        <w:rPr>
          <w:rFonts w:cstheme="minorHAnsi"/>
          <w:szCs w:val="24"/>
        </w:rPr>
      </w:pPr>
      <w:r w:rsidRPr="008E2B49">
        <w:rPr>
          <w:rFonts w:cstheme="minorHAnsi"/>
          <w:szCs w:val="24"/>
        </w:rPr>
        <w:t>and, where mass of N</w:t>
      </w:r>
      <w:r w:rsidRPr="008E2B49">
        <w:rPr>
          <w:rFonts w:cstheme="minorHAnsi"/>
          <w:szCs w:val="24"/>
          <w:vertAlign w:val="subscript"/>
        </w:rPr>
        <w:t>2</w:t>
      </w:r>
      <w:r w:rsidRPr="008E2B49">
        <w:rPr>
          <w:rFonts w:cstheme="minorHAnsi"/>
          <w:szCs w:val="24"/>
        </w:rPr>
        <w:t>O in headspace (</w:t>
      </w:r>
      <w:r w:rsidRPr="008E2B49">
        <w:rPr>
          <w:rFonts w:cstheme="minorHAnsi"/>
          <w:i/>
          <w:iCs/>
          <w:szCs w:val="24"/>
        </w:rPr>
        <w:t>m</w:t>
      </w:r>
      <w:r w:rsidRPr="008E2B49">
        <w:rPr>
          <w:rFonts w:cstheme="minorHAnsi"/>
          <w:szCs w:val="24"/>
        </w:rPr>
        <w:t>) is given by:</w:t>
      </w:r>
    </w:p>
    <w:p w14:paraId="25EFCA9F" w14:textId="77777777" w:rsidR="00667E2D" w:rsidRPr="008E2B49" w:rsidRDefault="00667E2D" w:rsidP="00667E2D">
      <w:pPr>
        <w:spacing w:after="0" w:line="240" w:lineRule="auto"/>
        <w:rPr>
          <w:rFonts w:cstheme="minorHAnsi"/>
          <w:szCs w:val="24"/>
        </w:rPr>
      </w:pPr>
    </w:p>
    <w:p w14:paraId="7B3CFF43" w14:textId="77777777" w:rsidR="00667E2D" w:rsidRPr="008E2B49" w:rsidRDefault="00667E2D" w:rsidP="00667E2D">
      <w:pPr>
        <w:spacing w:after="0" w:line="240" w:lineRule="auto"/>
        <w:rPr>
          <w:rFonts w:eastAsiaTheme="minorEastAsia" w:cstheme="minorHAnsi"/>
          <w:b/>
          <w:bCs/>
          <w:szCs w:val="24"/>
        </w:rPr>
      </w:pPr>
      <m:oMath>
        <m:r>
          <w:rPr>
            <w:rFonts w:ascii="Cambria Math" w:hAnsi="Cambria Math" w:cstheme="minorHAnsi"/>
            <w:szCs w:val="24"/>
          </w:rPr>
          <w:lastRenderedPageBreak/>
          <m:t>m=Hs×</m:t>
        </m:r>
        <m:sSub>
          <m:sSubPr>
            <m:ctrlPr>
              <w:rPr>
                <w:rFonts w:ascii="Cambria Math" w:hAnsi="Cambria Math" w:cstheme="minorHAnsi"/>
                <w:i/>
                <w:szCs w:val="24"/>
              </w:rPr>
            </m:ctrlPr>
          </m:sSubPr>
          <m:e>
            <m:r>
              <w:rPr>
                <w:rFonts w:ascii="Cambria Math" w:hAnsi="Cambria Math" w:cstheme="minorHAnsi"/>
                <w:szCs w:val="24"/>
              </w:rPr>
              <m:t>N</m:t>
            </m:r>
          </m:e>
          <m:sub>
            <m:r>
              <w:rPr>
                <w:rFonts w:ascii="Cambria Math" w:hAnsi="Cambria Math" w:cstheme="minorHAnsi"/>
                <w:szCs w:val="24"/>
              </w:rPr>
              <m:t>A</m:t>
            </m:r>
          </m:sub>
        </m:sSub>
        <m:r>
          <w:rPr>
            <w:rFonts w:ascii="Cambria Math" w:hAnsi="Cambria Math" w:cstheme="minorHAnsi"/>
            <w:szCs w:val="24"/>
          </w:rPr>
          <m:t>×(AδC-CδC)</m:t>
        </m:r>
      </m:oMath>
      <w:r w:rsidRPr="008E2B49">
        <w:rPr>
          <w:rFonts w:eastAsiaTheme="minorEastAsia" w:cstheme="minorHAnsi"/>
          <w:szCs w:val="24"/>
        </w:rPr>
        <w:t xml:space="preserve"> </w:t>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szCs w:val="24"/>
        </w:rPr>
        <w:tab/>
      </w:r>
      <w:r w:rsidRPr="008E2B49">
        <w:rPr>
          <w:rFonts w:eastAsiaTheme="minorEastAsia" w:cstheme="minorHAnsi"/>
          <w:b/>
          <w:bCs/>
          <w:szCs w:val="24"/>
        </w:rPr>
        <w:t>Equation [4]</w:t>
      </w:r>
    </w:p>
    <w:p w14:paraId="6E19B4CF" w14:textId="77777777" w:rsidR="00667E2D" w:rsidRPr="008E2B49" w:rsidRDefault="00667E2D" w:rsidP="00667E2D">
      <w:pPr>
        <w:spacing w:after="0" w:line="240" w:lineRule="auto"/>
        <w:rPr>
          <w:rFonts w:cstheme="minorHAnsi"/>
          <w:szCs w:val="24"/>
        </w:rPr>
      </w:pPr>
    </w:p>
    <w:p w14:paraId="6B3A529F" w14:textId="77777777" w:rsidR="00667E2D" w:rsidRPr="008E2B49" w:rsidRDefault="00667E2D" w:rsidP="00667E2D">
      <w:pPr>
        <w:pStyle w:val="ListParagraph"/>
        <w:numPr>
          <w:ilvl w:val="0"/>
          <w:numId w:val="2"/>
        </w:numPr>
        <w:spacing w:after="0" w:line="240" w:lineRule="auto"/>
        <w:ind w:left="714" w:hanging="357"/>
        <w:rPr>
          <w:rFonts w:cstheme="minorHAnsi"/>
          <w:szCs w:val="24"/>
        </w:rPr>
      </w:pPr>
      <w:r w:rsidRPr="008E2B49">
        <w:rPr>
          <w:rFonts w:cstheme="minorHAnsi"/>
          <w:i/>
          <w:iCs/>
          <w:szCs w:val="24"/>
        </w:rPr>
        <w:t>m</w:t>
      </w:r>
      <w:r w:rsidRPr="008E2B49">
        <w:rPr>
          <w:rFonts w:cstheme="minorHAnsi"/>
          <w:szCs w:val="24"/>
        </w:rPr>
        <w:t>: Mass of N</w:t>
      </w:r>
      <w:r w:rsidRPr="008E2B49">
        <w:rPr>
          <w:rFonts w:cstheme="minorHAnsi"/>
          <w:szCs w:val="24"/>
          <w:vertAlign w:val="subscript"/>
        </w:rPr>
        <w:t>2</w:t>
      </w:r>
      <w:r w:rsidRPr="008E2B49">
        <w:rPr>
          <w:rFonts w:cstheme="minorHAnsi"/>
          <w:szCs w:val="24"/>
        </w:rPr>
        <w:t>O in headspace (mg)</w:t>
      </w:r>
    </w:p>
    <w:p w14:paraId="37808D7B" w14:textId="77777777" w:rsidR="00667E2D" w:rsidRPr="008E2B49" w:rsidRDefault="00667E2D" w:rsidP="00667E2D">
      <w:pPr>
        <w:pStyle w:val="ListParagraph"/>
        <w:numPr>
          <w:ilvl w:val="0"/>
          <w:numId w:val="2"/>
        </w:numPr>
        <w:spacing w:after="0" w:line="240" w:lineRule="auto"/>
        <w:ind w:left="714" w:hanging="357"/>
        <w:rPr>
          <w:rFonts w:cstheme="minorHAnsi"/>
          <w:szCs w:val="24"/>
        </w:rPr>
      </w:pPr>
      <w:r w:rsidRPr="008E2B49">
        <w:rPr>
          <w:rFonts w:cstheme="minorHAnsi"/>
          <w:i/>
          <w:iCs/>
          <w:szCs w:val="24"/>
        </w:rPr>
        <w:t>Hs</w:t>
      </w:r>
      <w:r w:rsidRPr="008E2B49">
        <w:rPr>
          <w:rFonts w:cstheme="minorHAnsi"/>
          <w:szCs w:val="24"/>
        </w:rPr>
        <w:t>: Headspace volume (ml)</w:t>
      </w:r>
    </w:p>
    <w:p w14:paraId="59C07AED" w14:textId="77777777" w:rsidR="00667E2D" w:rsidRPr="008E2B49" w:rsidRDefault="00667E2D" w:rsidP="00667E2D">
      <w:pPr>
        <w:pStyle w:val="ListParagraph"/>
        <w:numPr>
          <w:ilvl w:val="0"/>
          <w:numId w:val="2"/>
        </w:numPr>
        <w:spacing w:after="0" w:line="240" w:lineRule="auto"/>
        <w:ind w:left="714" w:hanging="357"/>
        <w:rPr>
          <w:rFonts w:cstheme="minorHAnsi"/>
          <w:szCs w:val="24"/>
        </w:rPr>
      </w:pPr>
      <w:r w:rsidRPr="008E2B49">
        <w:rPr>
          <w:rFonts w:cstheme="minorHAnsi"/>
          <w:i/>
          <w:iCs/>
          <w:szCs w:val="24"/>
        </w:rPr>
        <w:t>N</w:t>
      </w:r>
      <w:r w:rsidRPr="008E2B49">
        <w:rPr>
          <w:rFonts w:cstheme="minorHAnsi"/>
          <w:i/>
          <w:iCs/>
          <w:szCs w:val="24"/>
          <w:vertAlign w:val="subscript"/>
        </w:rPr>
        <w:t>A</w:t>
      </w:r>
      <w:r w:rsidRPr="008E2B49">
        <w:rPr>
          <w:rFonts w:cstheme="minorHAnsi"/>
          <w:i/>
          <w:iCs/>
          <w:szCs w:val="24"/>
        </w:rPr>
        <w:t xml:space="preserve">: </w:t>
      </w:r>
      <w:r w:rsidRPr="008E2B49">
        <w:rPr>
          <w:rFonts w:cstheme="minorHAnsi"/>
          <w:szCs w:val="24"/>
        </w:rPr>
        <w:t>Avogadro constant (6.022×10²³ mol</w:t>
      </w:r>
      <w:r w:rsidRPr="008E2B49">
        <w:rPr>
          <w:rFonts w:ascii="Cambria Math" w:hAnsi="Cambria Math" w:cs="Cambria Math"/>
          <w:szCs w:val="24"/>
        </w:rPr>
        <w:t>⁻</w:t>
      </w:r>
      <w:r w:rsidRPr="008E2B49">
        <w:rPr>
          <w:rFonts w:cstheme="minorHAnsi"/>
          <w:szCs w:val="24"/>
        </w:rPr>
        <w:t>¹)</w:t>
      </w:r>
    </w:p>
    <w:p w14:paraId="4838CEBB" w14:textId="77777777" w:rsidR="00667E2D" w:rsidRPr="008E2B49" w:rsidRDefault="00667E2D" w:rsidP="00667E2D">
      <w:pPr>
        <w:pStyle w:val="ListParagraph"/>
        <w:numPr>
          <w:ilvl w:val="0"/>
          <w:numId w:val="2"/>
        </w:numPr>
        <w:spacing w:after="0" w:line="240" w:lineRule="auto"/>
        <w:ind w:left="714" w:hanging="357"/>
        <w:rPr>
          <w:rFonts w:cstheme="minorHAnsi"/>
          <w:szCs w:val="24"/>
        </w:rPr>
      </w:pPr>
      <w:proofErr w:type="spellStart"/>
      <w:r w:rsidRPr="008E2B49">
        <w:rPr>
          <w:rFonts w:cstheme="minorHAnsi"/>
          <w:i/>
          <w:iCs/>
          <w:szCs w:val="24"/>
        </w:rPr>
        <w:t>A</w:t>
      </w:r>
      <w:r w:rsidRPr="008E2B49">
        <w:rPr>
          <w:rFonts w:eastAsia="DengXian" w:cstheme="minorHAnsi"/>
          <w:i/>
          <w:iCs/>
          <w:szCs w:val="24"/>
        </w:rPr>
        <w:t>δC</w:t>
      </w:r>
      <w:proofErr w:type="spellEnd"/>
      <w:r w:rsidRPr="008E2B49">
        <w:rPr>
          <w:rFonts w:eastAsia="DengXian" w:cstheme="minorHAnsi"/>
          <w:szCs w:val="24"/>
        </w:rPr>
        <w:t>: Change in the gas concentration in acetylene samples: T0-T24</w:t>
      </w:r>
    </w:p>
    <w:p w14:paraId="465FC6B5" w14:textId="77777777" w:rsidR="00667E2D" w:rsidRPr="008E2B49" w:rsidRDefault="00667E2D" w:rsidP="00667E2D">
      <w:pPr>
        <w:pStyle w:val="ListParagraph"/>
        <w:numPr>
          <w:ilvl w:val="0"/>
          <w:numId w:val="2"/>
        </w:numPr>
        <w:spacing w:after="0" w:line="240" w:lineRule="auto"/>
        <w:ind w:left="714" w:hanging="357"/>
        <w:rPr>
          <w:rFonts w:cstheme="minorHAnsi"/>
          <w:szCs w:val="24"/>
        </w:rPr>
      </w:pPr>
      <w:proofErr w:type="spellStart"/>
      <w:r w:rsidRPr="008E2B49">
        <w:rPr>
          <w:rFonts w:cstheme="minorHAnsi"/>
          <w:i/>
          <w:iCs/>
          <w:szCs w:val="24"/>
        </w:rPr>
        <w:t>CδC</w:t>
      </w:r>
      <w:proofErr w:type="spellEnd"/>
      <w:r w:rsidRPr="008E2B49">
        <w:rPr>
          <w:rFonts w:cstheme="minorHAnsi"/>
          <w:szCs w:val="24"/>
        </w:rPr>
        <w:t>: Change in the gas concentration in control samples: T0-T24</w:t>
      </w:r>
    </w:p>
    <w:p w14:paraId="6356E15F" w14:textId="77777777" w:rsidR="00667E2D" w:rsidRPr="008E2B49" w:rsidRDefault="00667E2D" w:rsidP="00667E2D">
      <w:pPr>
        <w:spacing w:after="0" w:line="240" w:lineRule="auto"/>
      </w:pPr>
    </w:p>
    <w:bookmarkEnd w:id="21"/>
    <w:p w14:paraId="7F9F464A" w14:textId="77777777" w:rsidR="00667E2D" w:rsidRPr="00600142" w:rsidRDefault="00667E2D" w:rsidP="00667E2D">
      <w:pPr>
        <w:spacing w:after="0" w:line="240" w:lineRule="auto"/>
        <w:rPr>
          <w:color w:val="FF0000"/>
        </w:rPr>
      </w:pPr>
    </w:p>
    <w:p w14:paraId="73FF4328" w14:textId="26CA5766" w:rsidR="00667E2D" w:rsidRDefault="00667E2D" w:rsidP="00667E2D">
      <w:pPr>
        <w:pStyle w:val="Heading3"/>
      </w:pPr>
      <w:bookmarkStart w:id="22" w:name="_Toc204240468"/>
      <w:bookmarkStart w:id="23" w:name="_Toc212824085"/>
      <w:r>
        <w:t>Porewater and Seawater Samples</w:t>
      </w:r>
      <w:bookmarkEnd w:id="22"/>
      <w:bookmarkEnd w:id="23"/>
    </w:p>
    <w:p w14:paraId="22C05476" w14:textId="77777777" w:rsidR="00667E2D" w:rsidRPr="00522CCE" w:rsidRDefault="00667E2D" w:rsidP="00667E2D">
      <w:pPr>
        <w:spacing w:after="0" w:line="240" w:lineRule="auto"/>
        <w:rPr>
          <w:rFonts w:cstheme="minorHAnsi"/>
          <w:szCs w:val="24"/>
        </w:rPr>
      </w:pPr>
      <w:bookmarkStart w:id="24" w:name="_Hlk193716969"/>
      <w:r w:rsidRPr="00522CCE">
        <w:rPr>
          <w:rFonts w:cstheme="minorHAnsi"/>
          <w:szCs w:val="24"/>
        </w:rPr>
        <w:t>Seawater and porewater samples were analysed using colorimetric based methods. Nitrate (NO</w:t>
      </w:r>
      <w:r w:rsidRPr="00522CCE">
        <w:rPr>
          <w:rFonts w:cstheme="minorHAnsi"/>
          <w:szCs w:val="24"/>
          <w:vertAlign w:val="subscript"/>
        </w:rPr>
        <w:t>3</w:t>
      </w:r>
      <w:r w:rsidRPr="00522CCE">
        <w:rPr>
          <w:rFonts w:cstheme="minorHAnsi"/>
          <w:szCs w:val="24"/>
          <w:vertAlign w:val="superscript"/>
        </w:rPr>
        <w:t>-</w:t>
      </w:r>
      <w:r w:rsidRPr="00522CCE">
        <w:rPr>
          <w:rFonts w:cstheme="minorHAnsi"/>
          <w:szCs w:val="24"/>
        </w:rPr>
        <w:t>) was measured using a Vanadium reduction followed by a Griess reaction. Ammonium (NH</w:t>
      </w:r>
      <w:r w:rsidRPr="00522CCE">
        <w:rPr>
          <w:rFonts w:cstheme="minorHAnsi"/>
          <w:szCs w:val="24"/>
          <w:vertAlign w:val="subscript"/>
        </w:rPr>
        <w:t>4</w:t>
      </w:r>
      <w:r w:rsidRPr="00522CCE">
        <w:rPr>
          <w:rFonts w:cstheme="minorHAnsi"/>
          <w:szCs w:val="24"/>
          <w:vertAlign w:val="superscript"/>
        </w:rPr>
        <w:t>+</w:t>
      </w:r>
      <w:r w:rsidRPr="00522CCE">
        <w:rPr>
          <w:rFonts w:cstheme="minorHAnsi"/>
          <w:szCs w:val="24"/>
        </w:rPr>
        <w:t>) was measured using a buffered indophenol method. Phosphate (PO</w:t>
      </w:r>
      <w:r w:rsidRPr="00522CCE">
        <w:rPr>
          <w:rFonts w:cstheme="minorHAnsi"/>
          <w:szCs w:val="24"/>
          <w:vertAlign w:val="subscript"/>
        </w:rPr>
        <w:t>4</w:t>
      </w:r>
      <w:r w:rsidRPr="00522CCE">
        <w:rPr>
          <w:rFonts w:cstheme="minorHAnsi"/>
          <w:szCs w:val="24"/>
          <w:vertAlign w:val="superscript"/>
        </w:rPr>
        <w:t>3-</w:t>
      </w:r>
      <w:r w:rsidRPr="00522CCE">
        <w:rPr>
          <w:rFonts w:cstheme="minorHAnsi"/>
          <w:szCs w:val="24"/>
        </w:rPr>
        <w:t xml:space="preserve">) was measured using the molybdenum blue method. </w:t>
      </w:r>
    </w:p>
    <w:p w14:paraId="47750151" w14:textId="77777777" w:rsidR="00667E2D" w:rsidRPr="00522CCE" w:rsidRDefault="00667E2D" w:rsidP="00667E2D">
      <w:pPr>
        <w:spacing w:after="0" w:line="240" w:lineRule="auto"/>
        <w:rPr>
          <w:rFonts w:cstheme="minorHAnsi"/>
          <w:szCs w:val="24"/>
        </w:rPr>
      </w:pPr>
    </w:p>
    <w:p w14:paraId="6EC06115" w14:textId="77777777" w:rsidR="00667E2D" w:rsidRDefault="00667E2D" w:rsidP="00667E2D">
      <w:pPr>
        <w:spacing w:after="0" w:line="240" w:lineRule="auto"/>
      </w:pPr>
      <w:r w:rsidRPr="00522CCE">
        <w:t>Other seawater ion concentrations (Cl</w:t>
      </w:r>
      <w:r w:rsidRPr="00522CCE">
        <w:rPr>
          <w:vertAlign w:val="superscript"/>
        </w:rPr>
        <w:t>-</w:t>
      </w:r>
      <w:r w:rsidRPr="00522CCE">
        <w:t>, Na</w:t>
      </w:r>
      <w:r w:rsidRPr="00522CCE">
        <w:rPr>
          <w:vertAlign w:val="superscript"/>
        </w:rPr>
        <w:t>2+</w:t>
      </w:r>
      <w:r w:rsidRPr="00522CCE">
        <w:t>, K</w:t>
      </w:r>
      <w:r w:rsidRPr="00522CCE">
        <w:rPr>
          <w:vertAlign w:val="superscript"/>
        </w:rPr>
        <w:t>+</w:t>
      </w:r>
      <w:r w:rsidRPr="00522CCE">
        <w:t>, Br</w:t>
      </w:r>
      <w:r w:rsidRPr="00522CCE">
        <w:rPr>
          <w:vertAlign w:val="superscript"/>
        </w:rPr>
        <w:t>-</w:t>
      </w:r>
      <w:r w:rsidRPr="00522CCE">
        <w:t>, Mg</w:t>
      </w:r>
      <w:r w:rsidRPr="00522CCE">
        <w:rPr>
          <w:vertAlign w:val="superscript"/>
        </w:rPr>
        <w:t>3+</w:t>
      </w:r>
      <w:r w:rsidRPr="00522CCE">
        <w:t xml:space="preserve"> and Ca</w:t>
      </w:r>
      <w:r w:rsidRPr="00522CCE">
        <w:rPr>
          <w:vertAlign w:val="superscript"/>
        </w:rPr>
        <w:t>2+</w:t>
      </w:r>
      <w:r w:rsidRPr="00522CCE">
        <w:t xml:space="preserve">) were measured using a </w:t>
      </w:r>
      <w:proofErr w:type="spellStart"/>
      <w:r w:rsidRPr="00522CCE">
        <w:t>Metrohm</w:t>
      </w:r>
      <w:proofErr w:type="spellEnd"/>
      <w:r w:rsidRPr="00522CCE">
        <w:t xml:space="preserve"> 850 Professional IC. For anions, 20 </w:t>
      </w:r>
      <w:r w:rsidRPr="00522CCE">
        <w:rPr>
          <w:rFonts w:cs="Arial"/>
        </w:rPr>
        <w:t>μ</w:t>
      </w:r>
      <w:r w:rsidRPr="00522CCE">
        <w:t xml:space="preserve">l of sample was injected onto a </w:t>
      </w:r>
      <w:proofErr w:type="spellStart"/>
      <w:r w:rsidRPr="00522CCE">
        <w:t>Metrosep</w:t>
      </w:r>
      <w:proofErr w:type="spellEnd"/>
      <w:r w:rsidRPr="00522CCE">
        <w:t xml:space="preserve"> A Supp 5 – 150/4.0 column using an 8mM Na</w:t>
      </w:r>
      <w:r w:rsidRPr="00522CCE">
        <w:rPr>
          <w:vertAlign w:val="subscript"/>
        </w:rPr>
        <w:t>2</w:t>
      </w:r>
      <w:r w:rsidRPr="00522CCE">
        <w:t>CO</w:t>
      </w:r>
      <w:r w:rsidRPr="00522CCE">
        <w:rPr>
          <w:vertAlign w:val="subscript"/>
        </w:rPr>
        <w:t>3</w:t>
      </w:r>
      <w:r w:rsidRPr="009B0191">
        <w:t>, 0.2mM NaHCO</w:t>
      </w:r>
      <w:r w:rsidRPr="00B63A41">
        <w:rPr>
          <w:vertAlign w:val="subscript"/>
        </w:rPr>
        <w:t>3</w:t>
      </w:r>
      <w:r w:rsidRPr="009B0191">
        <w:t xml:space="preserve"> eluent.</w:t>
      </w:r>
      <w:r>
        <w:t xml:space="preserve"> For cations, </w:t>
      </w:r>
      <w:r w:rsidRPr="009B0191">
        <w:t>20</w:t>
      </w:r>
      <w:r>
        <w:t xml:space="preserve"> </w:t>
      </w:r>
      <w:r>
        <w:rPr>
          <w:rFonts w:cs="Arial"/>
        </w:rPr>
        <w:t>μ</w:t>
      </w:r>
      <w:r w:rsidRPr="009B0191">
        <w:t xml:space="preserve">l of sample was injected onto a </w:t>
      </w:r>
      <w:proofErr w:type="spellStart"/>
      <w:r w:rsidRPr="009B0191">
        <w:t>Metrosep</w:t>
      </w:r>
      <w:proofErr w:type="spellEnd"/>
      <w:r w:rsidRPr="009B0191">
        <w:t xml:space="preserve"> C 4 – 250/4.0 column using a 5mM HNO</w:t>
      </w:r>
      <w:r w:rsidRPr="00B63A41">
        <w:rPr>
          <w:vertAlign w:val="subscript"/>
        </w:rPr>
        <w:t>3</w:t>
      </w:r>
      <w:r w:rsidRPr="009B0191">
        <w:t>/1mM Oxalic acid eluent. Both columns were fitted with guard columns</w:t>
      </w:r>
      <w:r>
        <w:t xml:space="preserve"> (A Supp 19 guard 4.0 and C6 Guard 4.0). S</w:t>
      </w:r>
      <w:r w:rsidRPr="009B0191">
        <w:t>eawater samples were diluted x50 to ensure ion levels were within the top standards</w:t>
      </w:r>
      <w:r>
        <w:t xml:space="preserve">. </w:t>
      </w:r>
      <w:r w:rsidRPr="14692A7D">
        <w:t xml:space="preserve">Ion </w:t>
      </w:r>
      <w:r w:rsidRPr="0343B956">
        <w:t>concentrations</w:t>
      </w:r>
      <w:r w:rsidRPr="14692A7D">
        <w:t xml:space="preserve"> were then used to generate seawater composition for each WHS</w:t>
      </w:r>
      <w:r w:rsidRPr="53509773">
        <w:t xml:space="preserve"> run.</w:t>
      </w:r>
    </w:p>
    <w:p w14:paraId="6559489B" w14:textId="0A12988F" w:rsidR="00667E2D" w:rsidRPr="00921DFC" w:rsidRDefault="00FC52EF" w:rsidP="00667E2D">
      <w:pPr>
        <w:pStyle w:val="Heading3"/>
      </w:pPr>
      <w:bookmarkStart w:id="25" w:name="_Toc204240469"/>
      <w:bookmarkStart w:id="26" w:name="_Toc212824086"/>
      <w:bookmarkEnd w:id="24"/>
      <w:r>
        <w:t xml:space="preserve">Organic </w:t>
      </w:r>
      <w:r w:rsidR="00667E2D">
        <w:t>Matter</w:t>
      </w:r>
      <w:r>
        <w:t xml:space="preserve"> content and </w:t>
      </w:r>
      <w:r w:rsidR="00667E2D">
        <w:t>Bulk Density</w:t>
      </w:r>
      <w:bookmarkEnd w:id="25"/>
      <w:bookmarkEnd w:id="26"/>
    </w:p>
    <w:p w14:paraId="08A38141" w14:textId="3FCF4374" w:rsidR="00667E2D" w:rsidRPr="004C2D93" w:rsidRDefault="00667E2D" w:rsidP="00667E2D">
      <w:pPr>
        <w:spacing w:before="100" w:beforeAutospacing="1" w:after="100" w:afterAutospacing="1" w:line="240" w:lineRule="auto"/>
        <w:rPr>
          <w:rFonts w:eastAsia="Times New Roman" w:cs="Arial"/>
          <w:szCs w:val="24"/>
          <w:lang w:eastAsia="en-GB"/>
        </w:rPr>
      </w:pPr>
      <w:bookmarkStart w:id="27" w:name="_Hlk193717204"/>
      <w:r w:rsidRPr="004C2D93">
        <w:rPr>
          <w:rFonts w:eastAsia="Times New Roman" w:cs="Arial"/>
          <w:szCs w:val="24"/>
          <w:lang w:eastAsia="en-GB"/>
        </w:rPr>
        <w:t>The Loss on Ignition (</w:t>
      </w:r>
      <w:proofErr w:type="spellStart"/>
      <w:r w:rsidRPr="004C2D93">
        <w:rPr>
          <w:rFonts w:eastAsia="Times New Roman" w:cs="Arial"/>
          <w:szCs w:val="24"/>
          <w:lang w:eastAsia="en-GB"/>
        </w:rPr>
        <w:t>LoI</w:t>
      </w:r>
      <w:proofErr w:type="spellEnd"/>
      <w:r w:rsidRPr="004C2D93">
        <w:rPr>
          <w:rFonts w:eastAsia="Times New Roman" w:cs="Arial"/>
          <w:szCs w:val="24"/>
          <w:lang w:eastAsia="en-GB"/>
        </w:rPr>
        <w:t xml:space="preserve">) method was employed to determine the percentage of moisture and organic </w:t>
      </w:r>
      <w:r>
        <w:rPr>
          <w:rFonts w:eastAsia="Times New Roman" w:cs="Arial"/>
          <w:szCs w:val="24"/>
          <w:lang w:eastAsia="en-GB"/>
        </w:rPr>
        <w:t xml:space="preserve">matter </w:t>
      </w:r>
      <w:r w:rsidRPr="004C2D93">
        <w:rPr>
          <w:rFonts w:eastAsia="Times New Roman" w:cs="Arial"/>
          <w:szCs w:val="24"/>
          <w:lang w:eastAsia="en-GB"/>
        </w:rPr>
        <w:t>content in</w:t>
      </w:r>
      <w:r>
        <w:rPr>
          <w:rFonts w:eastAsia="Times New Roman" w:cs="Arial"/>
          <w:szCs w:val="24"/>
          <w:lang w:eastAsia="en-GB"/>
        </w:rPr>
        <w:t xml:space="preserve"> the sediment</w:t>
      </w:r>
      <w:r w:rsidRPr="004C2D93">
        <w:rPr>
          <w:rFonts w:eastAsia="Times New Roman" w:cs="Arial"/>
          <w:szCs w:val="24"/>
          <w:lang w:eastAsia="en-GB"/>
        </w:rPr>
        <w:t>. Cleaned and labelled crucibles were weighed to four decimal places before being filled with homogenized sediment. The samples were dried in an oven at 105°C for 24 hours to remove water content (or until a constant weight was achieved), then cooled in a desiccator and reweighed to determine moisture loss. The dried samples were subsequently combusted in a muffle furnace at 550°C for 200 minutes to remove organic material (following initial trials to establish necessary timing). After cooling, the crucibles were reweighed to measure the mass of the remaining inorganic fraction. Moisture and organic content percentages were calculated using the following formulas:</w:t>
      </w:r>
    </w:p>
    <w:p w14:paraId="03A254B0" w14:textId="77777777" w:rsidR="00667E2D" w:rsidRPr="004C2D93" w:rsidRDefault="00667E2D" w:rsidP="00667E2D">
      <w:pPr>
        <w:spacing w:before="100" w:beforeAutospacing="1" w:after="100" w:afterAutospacing="1" w:line="240" w:lineRule="auto"/>
        <w:rPr>
          <w:rFonts w:ascii="Times New Roman" w:eastAsia="Times New Roman" w:hAnsi="Times New Roman"/>
          <w:szCs w:val="24"/>
          <w:lang w:eastAsia="en-GB"/>
        </w:rPr>
      </w:pPr>
      <w:r w:rsidRPr="004C2D93">
        <w:rPr>
          <w:noProof/>
          <w:szCs w:val="24"/>
        </w:rPr>
        <w:drawing>
          <wp:inline distT="0" distB="0" distL="0" distR="0" wp14:anchorId="32A3BFF6" wp14:editId="600372DB">
            <wp:extent cx="6115685" cy="864235"/>
            <wp:effectExtent l="0" t="0" r="0" b="0"/>
            <wp:docPr id="569777467" name="Picture 1" descr="A close-up of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777467" name="Picture 1" descr="A close-up of text&#10;&#10;AI-generated content may be incorrect."/>
                    <pic:cNvPicPr/>
                  </pic:nvPicPr>
                  <pic:blipFill>
                    <a:blip r:embed="rId11"/>
                    <a:stretch>
                      <a:fillRect/>
                    </a:stretch>
                  </pic:blipFill>
                  <pic:spPr>
                    <a:xfrm>
                      <a:off x="0" y="0"/>
                      <a:ext cx="6115685" cy="864235"/>
                    </a:xfrm>
                    <a:prstGeom prst="rect">
                      <a:avLst/>
                    </a:prstGeom>
                  </pic:spPr>
                </pic:pic>
              </a:graphicData>
            </a:graphic>
          </wp:inline>
        </w:drawing>
      </w:r>
    </w:p>
    <w:p w14:paraId="05978EA7" w14:textId="77777777" w:rsidR="00667E2D" w:rsidRPr="004C2D93" w:rsidRDefault="00667E2D" w:rsidP="00667E2D">
      <w:pPr>
        <w:spacing w:before="100" w:beforeAutospacing="1" w:after="100" w:afterAutospacing="1" w:line="240" w:lineRule="auto"/>
        <w:jc w:val="right"/>
        <w:rPr>
          <w:rFonts w:eastAsia="Times New Roman" w:cstheme="minorHAnsi"/>
          <w:b/>
          <w:bCs/>
          <w:szCs w:val="24"/>
          <w:lang w:eastAsia="en-GB"/>
        </w:rPr>
      </w:pPr>
      <w:r w:rsidRPr="004C2D93">
        <w:rPr>
          <w:rFonts w:eastAsia="Times New Roman" w:cstheme="minorHAnsi"/>
          <w:b/>
          <w:bCs/>
          <w:szCs w:val="24"/>
          <w:lang w:eastAsia="en-GB"/>
        </w:rPr>
        <w:t>Equations [5] and [6]</w:t>
      </w:r>
    </w:p>
    <w:p w14:paraId="488B4BE5" w14:textId="77777777" w:rsidR="00667E2D" w:rsidRDefault="00667E2D" w:rsidP="00667E2D">
      <w:pPr>
        <w:spacing w:after="0" w:line="240" w:lineRule="auto"/>
        <w:rPr>
          <w:rFonts w:eastAsia="Times New Roman" w:cs="Arial"/>
          <w:szCs w:val="24"/>
          <w:lang w:eastAsia="en-GB"/>
        </w:rPr>
      </w:pPr>
      <w:r w:rsidRPr="004C2D93">
        <w:rPr>
          <w:rFonts w:eastAsia="Times New Roman" w:cs="Arial"/>
          <w:szCs w:val="24"/>
          <w:lang w:eastAsia="en-GB"/>
        </w:rPr>
        <w:t xml:space="preserve">To determine soil bulk </w:t>
      </w:r>
      <w:r w:rsidRPr="004D1DA1">
        <w:rPr>
          <w:rFonts w:eastAsia="Times New Roman" w:cs="Arial"/>
          <w:szCs w:val="24"/>
          <w:lang w:eastAsia="en-GB"/>
        </w:rPr>
        <w:t>density</w:t>
      </w:r>
      <w:r w:rsidRPr="004C2D93">
        <w:rPr>
          <w:rFonts w:eastAsia="Times New Roman" w:cs="Arial"/>
          <w:szCs w:val="24"/>
          <w:lang w:eastAsia="en-GB"/>
        </w:rPr>
        <w:t>, a 1 cm-thick disk was extracted from a 10 cm depth of the Control core. The soil sample was placed into a pre-weighed foil dish and dried in an oven at 105 °C for 48 hours, or until a constant weight was achieved, to remove all moisture. After drying, the sample was weighed again. Bulk density (g/cm³) was calculated by dividing the oven-dry mass of the soil by the sample's volume, which was determined from the known dimensions of the core sampler.</w:t>
      </w:r>
      <w:r>
        <w:rPr>
          <w:rFonts w:eastAsia="Times New Roman" w:cs="Arial"/>
          <w:szCs w:val="24"/>
          <w:lang w:eastAsia="en-GB"/>
        </w:rPr>
        <w:t xml:space="preserve"> </w:t>
      </w:r>
      <w:bookmarkEnd w:id="27"/>
    </w:p>
    <w:sectPr w:rsidR="00667E2D">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F1909" w14:textId="77777777" w:rsidR="0067792E" w:rsidRDefault="0067792E" w:rsidP="003B1B3B">
      <w:pPr>
        <w:spacing w:after="0" w:line="240" w:lineRule="auto"/>
      </w:pPr>
      <w:r>
        <w:separator/>
      </w:r>
    </w:p>
  </w:endnote>
  <w:endnote w:type="continuationSeparator" w:id="0">
    <w:p w14:paraId="6EF15328" w14:textId="77777777" w:rsidR="0067792E" w:rsidRDefault="0067792E" w:rsidP="003B1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7038686"/>
      <w:docPartObj>
        <w:docPartGallery w:val="Page Numbers (Bottom of Page)"/>
        <w:docPartUnique/>
      </w:docPartObj>
    </w:sdtPr>
    <w:sdtContent>
      <w:p w14:paraId="26D9E526" w14:textId="7A275695" w:rsidR="003B1B3B" w:rsidRDefault="003B1B3B">
        <w:pPr>
          <w:pStyle w:val="Footer"/>
          <w:jc w:val="right"/>
        </w:pPr>
        <w:r>
          <w:fldChar w:fldCharType="begin"/>
        </w:r>
        <w:r>
          <w:instrText>PAGE   \* MERGEFORMAT</w:instrText>
        </w:r>
        <w:r>
          <w:fldChar w:fldCharType="separate"/>
        </w:r>
        <w:r>
          <w:t>2</w:t>
        </w:r>
        <w:r>
          <w:fldChar w:fldCharType="end"/>
        </w:r>
      </w:p>
    </w:sdtContent>
  </w:sdt>
  <w:p w14:paraId="241A1EB7" w14:textId="77777777" w:rsidR="003B1B3B" w:rsidRDefault="003B1B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BAB17" w14:textId="77777777" w:rsidR="0067792E" w:rsidRDefault="0067792E" w:rsidP="003B1B3B">
      <w:pPr>
        <w:spacing w:after="0" w:line="240" w:lineRule="auto"/>
      </w:pPr>
      <w:r>
        <w:separator/>
      </w:r>
    </w:p>
  </w:footnote>
  <w:footnote w:type="continuationSeparator" w:id="0">
    <w:p w14:paraId="035AB591" w14:textId="77777777" w:rsidR="0067792E" w:rsidRDefault="0067792E" w:rsidP="003B1B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77991"/>
    <w:multiLevelType w:val="hybridMultilevel"/>
    <w:tmpl w:val="F3800EB8"/>
    <w:lvl w:ilvl="0" w:tplc="2392FD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CAC24BE"/>
    <w:multiLevelType w:val="hybridMultilevel"/>
    <w:tmpl w:val="7C0C3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1045273"/>
    <w:multiLevelType w:val="hybridMultilevel"/>
    <w:tmpl w:val="34DEB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D2E2F5E"/>
    <w:multiLevelType w:val="hybridMultilevel"/>
    <w:tmpl w:val="AD2E6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0335989">
    <w:abstractNumId w:val="0"/>
  </w:num>
  <w:num w:numId="2" w16cid:durableId="797770363">
    <w:abstractNumId w:val="2"/>
  </w:num>
  <w:num w:numId="3" w16cid:durableId="1371219794">
    <w:abstractNumId w:val="3"/>
  </w:num>
  <w:num w:numId="4" w16cid:durableId="6562232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144"/>
    <w:rsid w:val="00002E84"/>
    <w:rsid w:val="0006326F"/>
    <w:rsid w:val="000D29C6"/>
    <w:rsid w:val="000D31C5"/>
    <w:rsid w:val="000E2A46"/>
    <w:rsid w:val="000F03A6"/>
    <w:rsid w:val="000F6954"/>
    <w:rsid w:val="00103AF4"/>
    <w:rsid w:val="00111F4B"/>
    <w:rsid w:val="00123824"/>
    <w:rsid w:val="00137879"/>
    <w:rsid w:val="001526CB"/>
    <w:rsid w:val="001926EC"/>
    <w:rsid w:val="00194E86"/>
    <w:rsid w:val="001A36C3"/>
    <w:rsid w:val="001E5524"/>
    <w:rsid w:val="00203A6C"/>
    <w:rsid w:val="00235004"/>
    <w:rsid w:val="0024667D"/>
    <w:rsid w:val="002B345D"/>
    <w:rsid w:val="002C4291"/>
    <w:rsid w:val="002F25BF"/>
    <w:rsid w:val="00325F84"/>
    <w:rsid w:val="00337F8C"/>
    <w:rsid w:val="00341B7D"/>
    <w:rsid w:val="00355649"/>
    <w:rsid w:val="0039328E"/>
    <w:rsid w:val="00395EE2"/>
    <w:rsid w:val="003A2367"/>
    <w:rsid w:val="003B1B3B"/>
    <w:rsid w:val="003B2D55"/>
    <w:rsid w:val="003C5BA3"/>
    <w:rsid w:val="003E472E"/>
    <w:rsid w:val="003E6D1E"/>
    <w:rsid w:val="003F3144"/>
    <w:rsid w:val="0043045C"/>
    <w:rsid w:val="00435C02"/>
    <w:rsid w:val="00442252"/>
    <w:rsid w:val="00466419"/>
    <w:rsid w:val="004B4938"/>
    <w:rsid w:val="004B5574"/>
    <w:rsid w:val="004E5A83"/>
    <w:rsid w:val="00517543"/>
    <w:rsid w:val="005235C0"/>
    <w:rsid w:val="0052388A"/>
    <w:rsid w:val="00525BC8"/>
    <w:rsid w:val="005377F3"/>
    <w:rsid w:val="00544A30"/>
    <w:rsid w:val="00550718"/>
    <w:rsid w:val="0055127F"/>
    <w:rsid w:val="00561117"/>
    <w:rsid w:val="005733CA"/>
    <w:rsid w:val="00582673"/>
    <w:rsid w:val="00585133"/>
    <w:rsid w:val="00587EF3"/>
    <w:rsid w:val="005A5A2C"/>
    <w:rsid w:val="005C7832"/>
    <w:rsid w:val="005E0DA7"/>
    <w:rsid w:val="005E103D"/>
    <w:rsid w:val="005E4349"/>
    <w:rsid w:val="005F6424"/>
    <w:rsid w:val="00602700"/>
    <w:rsid w:val="00632C7C"/>
    <w:rsid w:val="00667771"/>
    <w:rsid w:val="00667E2D"/>
    <w:rsid w:val="0067792E"/>
    <w:rsid w:val="006A065F"/>
    <w:rsid w:val="006A640C"/>
    <w:rsid w:val="006E77D6"/>
    <w:rsid w:val="006F2238"/>
    <w:rsid w:val="00710890"/>
    <w:rsid w:val="00792214"/>
    <w:rsid w:val="00792CD0"/>
    <w:rsid w:val="007E2AA5"/>
    <w:rsid w:val="007F1EA4"/>
    <w:rsid w:val="00817594"/>
    <w:rsid w:val="00826759"/>
    <w:rsid w:val="00827BE9"/>
    <w:rsid w:val="0083548D"/>
    <w:rsid w:val="008573AF"/>
    <w:rsid w:val="00874384"/>
    <w:rsid w:val="008749AD"/>
    <w:rsid w:val="0088444D"/>
    <w:rsid w:val="00893409"/>
    <w:rsid w:val="008D5EDD"/>
    <w:rsid w:val="008D60DB"/>
    <w:rsid w:val="00932A65"/>
    <w:rsid w:val="0094625D"/>
    <w:rsid w:val="009D7A3B"/>
    <w:rsid w:val="00A0326A"/>
    <w:rsid w:val="00A52C85"/>
    <w:rsid w:val="00A55D3E"/>
    <w:rsid w:val="00A82773"/>
    <w:rsid w:val="00A93D62"/>
    <w:rsid w:val="00AA5DDE"/>
    <w:rsid w:val="00AC2B12"/>
    <w:rsid w:val="00AC7CB1"/>
    <w:rsid w:val="00AD6D19"/>
    <w:rsid w:val="00B04192"/>
    <w:rsid w:val="00B11ABC"/>
    <w:rsid w:val="00B11C2C"/>
    <w:rsid w:val="00B24034"/>
    <w:rsid w:val="00B4451F"/>
    <w:rsid w:val="00B47026"/>
    <w:rsid w:val="00B62C05"/>
    <w:rsid w:val="00B63B87"/>
    <w:rsid w:val="00B83394"/>
    <w:rsid w:val="00BA1FFD"/>
    <w:rsid w:val="00BD00A3"/>
    <w:rsid w:val="00BE0BCA"/>
    <w:rsid w:val="00BF2CA5"/>
    <w:rsid w:val="00C41666"/>
    <w:rsid w:val="00C95A72"/>
    <w:rsid w:val="00CE295B"/>
    <w:rsid w:val="00D37ED0"/>
    <w:rsid w:val="00D728CC"/>
    <w:rsid w:val="00DA3243"/>
    <w:rsid w:val="00DB7293"/>
    <w:rsid w:val="00DC4749"/>
    <w:rsid w:val="00DD040B"/>
    <w:rsid w:val="00DD4A80"/>
    <w:rsid w:val="00E06D68"/>
    <w:rsid w:val="00E107A2"/>
    <w:rsid w:val="00E30FA0"/>
    <w:rsid w:val="00E33CC5"/>
    <w:rsid w:val="00E40116"/>
    <w:rsid w:val="00E46942"/>
    <w:rsid w:val="00E6221A"/>
    <w:rsid w:val="00E66499"/>
    <w:rsid w:val="00ED4F36"/>
    <w:rsid w:val="00EF1EB4"/>
    <w:rsid w:val="00EF5E82"/>
    <w:rsid w:val="00F020AE"/>
    <w:rsid w:val="00F2339D"/>
    <w:rsid w:val="00F344CC"/>
    <w:rsid w:val="00F43518"/>
    <w:rsid w:val="00F460F4"/>
    <w:rsid w:val="00F53F43"/>
    <w:rsid w:val="00F6274B"/>
    <w:rsid w:val="00F77C41"/>
    <w:rsid w:val="00FA3160"/>
    <w:rsid w:val="00FA6623"/>
    <w:rsid w:val="00FA6CDD"/>
    <w:rsid w:val="00FC05C3"/>
    <w:rsid w:val="00FC52EF"/>
    <w:rsid w:val="00FD5058"/>
    <w:rsid w:val="00FD7D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30B11"/>
  <w15:chartTrackingRefBased/>
  <w15:docId w15:val="{60929A71-7CC7-44A2-BAE4-A7B3AD8FC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31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F31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31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31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31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31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31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31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31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31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F31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31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31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31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31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31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31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3144"/>
    <w:rPr>
      <w:rFonts w:eastAsiaTheme="majorEastAsia" w:cstheme="majorBidi"/>
      <w:color w:val="272727" w:themeColor="text1" w:themeTint="D8"/>
    </w:rPr>
  </w:style>
  <w:style w:type="paragraph" w:styleId="Title">
    <w:name w:val="Title"/>
    <w:basedOn w:val="Normal"/>
    <w:next w:val="Normal"/>
    <w:link w:val="TitleChar"/>
    <w:uiPriority w:val="10"/>
    <w:qFormat/>
    <w:rsid w:val="003F31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31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31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31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3144"/>
    <w:pPr>
      <w:spacing w:before="160"/>
      <w:jc w:val="center"/>
    </w:pPr>
    <w:rPr>
      <w:i/>
      <w:iCs/>
      <w:color w:val="404040" w:themeColor="text1" w:themeTint="BF"/>
    </w:rPr>
  </w:style>
  <w:style w:type="character" w:customStyle="1" w:styleId="QuoteChar">
    <w:name w:val="Quote Char"/>
    <w:basedOn w:val="DefaultParagraphFont"/>
    <w:link w:val="Quote"/>
    <w:uiPriority w:val="29"/>
    <w:rsid w:val="003F3144"/>
    <w:rPr>
      <w:i/>
      <w:iCs/>
      <w:color w:val="404040" w:themeColor="text1" w:themeTint="BF"/>
    </w:rPr>
  </w:style>
  <w:style w:type="paragraph" w:styleId="ListParagraph">
    <w:name w:val="List Paragraph"/>
    <w:basedOn w:val="Normal"/>
    <w:uiPriority w:val="34"/>
    <w:qFormat/>
    <w:rsid w:val="003F3144"/>
    <w:pPr>
      <w:ind w:left="720"/>
      <w:contextualSpacing/>
    </w:pPr>
  </w:style>
  <w:style w:type="character" w:styleId="IntenseEmphasis">
    <w:name w:val="Intense Emphasis"/>
    <w:basedOn w:val="DefaultParagraphFont"/>
    <w:uiPriority w:val="21"/>
    <w:qFormat/>
    <w:rsid w:val="003F3144"/>
    <w:rPr>
      <w:i/>
      <w:iCs/>
      <w:color w:val="0F4761" w:themeColor="accent1" w:themeShade="BF"/>
    </w:rPr>
  </w:style>
  <w:style w:type="paragraph" w:styleId="IntenseQuote">
    <w:name w:val="Intense Quote"/>
    <w:basedOn w:val="Normal"/>
    <w:next w:val="Normal"/>
    <w:link w:val="IntenseQuoteChar"/>
    <w:uiPriority w:val="30"/>
    <w:qFormat/>
    <w:rsid w:val="003F31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3144"/>
    <w:rPr>
      <w:i/>
      <w:iCs/>
      <w:color w:val="0F4761" w:themeColor="accent1" w:themeShade="BF"/>
    </w:rPr>
  </w:style>
  <w:style w:type="character" w:styleId="IntenseReference">
    <w:name w:val="Intense Reference"/>
    <w:basedOn w:val="DefaultParagraphFont"/>
    <w:uiPriority w:val="32"/>
    <w:qFormat/>
    <w:rsid w:val="003F3144"/>
    <w:rPr>
      <w:b/>
      <w:bCs/>
      <w:smallCaps/>
      <w:color w:val="0F4761" w:themeColor="accent1" w:themeShade="BF"/>
      <w:spacing w:val="5"/>
    </w:rPr>
  </w:style>
  <w:style w:type="character" w:styleId="CommentReference">
    <w:name w:val="annotation reference"/>
    <w:basedOn w:val="DefaultParagraphFont"/>
    <w:uiPriority w:val="99"/>
    <w:semiHidden/>
    <w:unhideWhenUsed/>
    <w:rsid w:val="003F3144"/>
    <w:rPr>
      <w:sz w:val="16"/>
      <w:szCs w:val="16"/>
    </w:rPr>
  </w:style>
  <w:style w:type="paragraph" w:styleId="CommentText">
    <w:name w:val="annotation text"/>
    <w:basedOn w:val="Normal"/>
    <w:link w:val="CommentTextChar"/>
    <w:uiPriority w:val="99"/>
    <w:unhideWhenUsed/>
    <w:rsid w:val="003F3144"/>
    <w:pPr>
      <w:spacing w:before="240" w:after="120" w:line="276" w:lineRule="auto"/>
    </w:pPr>
    <w:rPr>
      <w:rFonts w:ascii="Arial" w:eastAsia="Arial" w:hAnsi="Arial" w:cs="Times New Roman"/>
      <w:kern w:val="0"/>
      <w:sz w:val="20"/>
      <w:szCs w:val="20"/>
    </w:rPr>
  </w:style>
  <w:style w:type="character" w:customStyle="1" w:styleId="CommentTextChar">
    <w:name w:val="Comment Text Char"/>
    <w:basedOn w:val="DefaultParagraphFont"/>
    <w:link w:val="CommentText"/>
    <w:uiPriority w:val="99"/>
    <w:rsid w:val="003F3144"/>
    <w:rPr>
      <w:rFonts w:ascii="Arial" w:eastAsia="Arial" w:hAnsi="Arial" w:cs="Times New Roman"/>
      <w:kern w:val="0"/>
      <w:sz w:val="20"/>
      <w:szCs w:val="20"/>
    </w:rPr>
  </w:style>
  <w:style w:type="character" w:customStyle="1" w:styleId="normaltextrun">
    <w:name w:val="normaltextrun"/>
    <w:basedOn w:val="DefaultParagraphFont"/>
    <w:rsid w:val="003F3144"/>
  </w:style>
  <w:style w:type="paragraph" w:styleId="NoSpacing">
    <w:name w:val="No Spacing"/>
    <w:uiPriority w:val="1"/>
    <w:qFormat/>
    <w:rsid w:val="00874384"/>
    <w:pPr>
      <w:spacing w:after="0" w:line="240" w:lineRule="auto"/>
    </w:pPr>
  </w:style>
  <w:style w:type="paragraph" w:styleId="Caption">
    <w:name w:val="caption"/>
    <w:basedOn w:val="Normal"/>
    <w:next w:val="Normal"/>
    <w:uiPriority w:val="35"/>
    <w:qFormat/>
    <w:rsid w:val="00F2339D"/>
    <w:pPr>
      <w:spacing w:before="360" w:after="0" w:line="276" w:lineRule="auto"/>
    </w:pPr>
    <w:rPr>
      <w:rFonts w:ascii="Arial" w:eastAsia="Arial" w:hAnsi="Arial" w:cs="Times New Roman"/>
      <w:b/>
      <w:iCs/>
      <w:kern w:val="0"/>
      <w:szCs w:val="18"/>
      <w14:ligatures w14:val="none"/>
    </w:rPr>
  </w:style>
  <w:style w:type="table" w:styleId="PlainTable2">
    <w:name w:val="Plain Table 2"/>
    <w:basedOn w:val="TableNormal"/>
    <w:uiPriority w:val="99"/>
    <w:rsid w:val="00F2339D"/>
    <w:pPr>
      <w:spacing w:after="0" w:line="240" w:lineRule="auto"/>
    </w:pPr>
    <w:rPr>
      <w:rFonts w:ascii="Arial" w:eastAsia="Arial" w:hAnsi="Arial" w:cs="Times New Roman"/>
      <w:kern w:val="0"/>
      <w:sz w:val="20"/>
      <w:szCs w:val="20"/>
      <w:lang w:eastAsia="en-GB"/>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Hyperlink">
    <w:name w:val="Hyperlink"/>
    <w:basedOn w:val="DefaultParagraphFont"/>
    <w:uiPriority w:val="99"/>
    <w:rsid w:val="00B24034"/>
    <w:rPr>
      <w:color w:val="1D70B8"/>
      <w:u w:val="single"/>
    </w:rPr>
  </w:style>
  <w:style w:type="paragraph" w:styleId="TOCHeading">
    <w:name w:val="TOC Heading"/>
    <w:basedOn w:val="Heading1"/>
    <w:next w:val="Normal"/>
    <w:uiPriority w:val="39"/>
    <w:unhideWhenUsed/>
    <w:qFormat/>
    <w:rsid w:val="00466419"/>
    <w:pPr>
      <w:spacing w:before="240" w:after="0"/>
      <w:outlineLvl w:val="9"/>
    </w:pPr>
    <w:rPr>
      <w:kern w:val="0"/>
      <w:sz w:val="32"/>
      <w:szCs w:val="32"/>
      <w:lang w:eastAsia="en-GB"/>
      <w14:ligatures w14:val="none"/>
    </w:rPr>
  </w:style>
  <w:style w:type="paragraph" w:styleId="TOC2">
    <w:name w:val="toc 2"/>
    <w:basedOn w:val="Normal"/>
    <w:next w:val="Normal"/>
    <w:autoRedefine/>
    <w:uiPriority w:val="39"/>
    <w:unhideWhenUsed/>
    <w:rsid w:val="00466419"/>
    <w:pPr>
      <w:spacing w:after="100"/>
      <w:ind w:left="220"/>
    </w:pPr>
  </w:style>
  <w:style w:type="paragraph" w:styleId="TOC3">
    <w:name w:val="toc 3"/>
    <w:basedOn w:val="Normal"/>
    <w:next w:val="Normal"/>
    <w:autoRedefine/>
    <w:uiPriority w:val="39"/>
    <w:unhideWhenUsed/>
    <w:rsid w:val="00466419"/>
    <w:pPr>
      <w:spacing w:after="100"/>
      <w:ind w:left="440"/>
    </w:pPr>
  </w:style>
  <w:style w:type="paragraph" w:styleId="Header">
    <w:name w:val="header"/>
    <w:basedOn w:val="Normal"/>
    <w:link w:val="HeaderChar"/>
    <w:uiPriority w:val="99"/>
    <w:unhideWhenUsed/>
    <w:rsid w:val="003B1B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1B3B"/>
  </w:style>
  <w:style w:type="paragraph" w:styleId="Footer">
    <w:name w:val="footer"/>
    <w:basedOn w:val="Normal"/>
    <w:link w:val="FooterChar"/>
    <w:uiPriority w:val="99"/>
    <w:unhideWhenUsed/>
    <w:rsid w:val="003B1B3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1B3B"/>
  </w:style>
  <w:style w:type="character" w:styleId="UnresolvedMention">
    <w:name w:val="Unresolved Mention"/>
    <w:basedOn w:val="DefaultParagraphFont"/>
    <w:uiPriority w:val="99"/>
    <w:semiHidden/>
    <w:unhideWhenUsed/>
    <w:rsid w:val="006027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716049">
      <w:bodyDiv w:val="1"/>
      <w:marLeft w:val="0"/>
      <w:marRight w:val="0"/>
      <w:marTop w:val="0"/>
      <w:marBottom w:val="0"/>
      <w:divBdr>
        <w:top w:val="none" w:sz="0" w:space="0" w:color="auto"/>
        <w:left w:val="none" w:sz="0" w:space="0" w:color="auto"/>
        <w:bottom w:val="none" w:sz="0" w:space="0" w:color="auto"/>
        <w:right w:val="none" w:sz="0" w:space="0" w:color="auto"/>
      </w:divBdr>
    </w:div>
    <w:div w:id="678586652">
      <w:bodyDiv w:val="1"/>
      <w:marLeft w:val="0"/>
      <w:marRight w:val="0"/>
      <w:marTop w:val="0"/>
      <w:marBottom w:val="0"/>
      <w:divBdr>
        <w:top w:val="none" w:sz="0" w:space="0" w:color="auto"/>
        <w:left w:val="none" w:sz="0" w:space="0" w:color="auto"/>
        <w:bottom w:val="none" w:sz="0" w:space="0" w:color="auto"/>
        <w:right w:val="none" w:sz="0" w:space="0" w:color="auto"/>
      </w:divBdr>
    </w:div>
    <w:div w:id="783187303">
      <w:bodyDiv w:val="1"/>
      <w:marLeft w:val="0"/>
      <w:marRight w:val="0"/>
      <w:marTop w:val="0"/>
      <w:marBottom w:val="0"/>
      <w:divBdr>
        <w:top w:val="none" w:sz="0" w:space="0" w:color="auto"/>
        <w:left w:val="none" w:sz="0" w:space="0" w:color="auto"/>
        <w:bottom w:val="none" w:sz="0" w:space="0" w:color="auto"/>
        <w:right w:val="none" w:sz="0" w:space="0" w:color="auto"/>
      </w:divBdr>
    </w:div>
    <w:div w:id="1034379055">
      <w:bodyDiv w:val="1"/>
      <w:marLeft w:val="0"/>
      <w:marRight w:val="0"/>
      <w:marTop w:val="0"/>
      <w:marBottom w:val="0"/>
      <w:divBdr>
        <w:top w:val="none" w:sz="0" w:space="0" w:color="auto"/>
        <w:left w:val="none" w:sz="0" w:space="0" w:color="auto"/>
        <w:bottom w:val="none" w:sz="0" w:space="0" w:color="auto"/>
        <w:right w:val="none" w:sz="0" w:space="0" w:color="auto"/>
      </w:divBdr>
    </w:div>
    <w:div w:id="1094208723">
      <w:bodyDiv w:val="1"/>
      <w:marLeft w:val="0"/>
      <w:marRight w:val="0"/>
      <w:marTop w:val="0"/>
      <w:marBottom w:val="0"/>
      <w:divBdr>
        <w:top w:val="none" w:sz="0" w:space="0" w:color="auto"/>
        <w:left w:val="none" w:sz="0" w:space="0" w:color="auto"/>
        <w:bottom w:val="none" w:sz="0" w:space="0" w:color="auto"/>
        <w:right w:val="none" w:sz="0" w:space="0" w:color="auto"/>
      </w:divBdr>
    </w:div>
    <w:div w:id="1412122300">
      <w:bodyDiv w:val="1"/>
      <w:marLeft w:val="0"/>
      <w:marRight w:val="0"/>
      <w:marTop w:val="0"/>
      <w:marBottom w:val="0"/>
      <w:divBdr>
        <w:top w:val="none" w:sz="0" w:space="0" w:color="auto"/>
        <w:left w:val="none" w:sz="0" w:space="0" w:color="auto"/>
        <w:bottom w:val="none" w:sz="0" w:space="0" w:color="auto"/>
        <w:right w:val="none" w:sz="0" w:space="0" w:color="auto"/>
      </w:divBdr>
    </w:div>
    <w:div w:id="1706371763">
      <w:bodyDiv w:val="1"/>
      <w:marLeft w:val="0"/>
      <w:marRight w:val="0"/>
      <w:marTop w:val="0"/>
      <w:marBottom w:val="0"/>
      <w:divBdr>
        <w:top w:val="none" w:sz="0" w:space="0" w:color="auto"/>
        <w:left w:val="none" w:sz="0" w:space="0" w:color="auto"/>
        <w:bottom w:val="none" w:sz="0" w:space="0" w:color="auto"/>
        <w:right w:val="none" w:sz="0" w:space="0" w:color="auto"/>
      </w:divBdr>
    </w:div>
    <w:div w:id="1946107504">
      <w:bodyDiv w:val="1"/>
      <w:marLeft w:val="0"/>
      <w:marRight w:val="0"/>
      <w:marTop w:val="0"/>
      <w:marBottom w:val="0"/>
      <w:divBdr>
        <w:top w:val="none" w:sz="0" w:space="0" w:color="auto"/>
        <w:left w:val="none" w:sz="0" w:space="0" w:color="auto"/>
        <w:bottom w:val="none" w:sz="0" w:space="0" w:color="auto"/>
        <w:right w:val="none" w:sz="0" w:space="0" w:color="auto"/>
      </w:divBdr>
    </w:div>
    <w:div w:id="195725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talogue.ceh.ac.uk/id/26efc506-a265-4bb1-8296-d6988ab8d71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https://catalogue.ceh.ac.uk/id/26efc506-a265-4bb1-8296-d6988ab8d71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115E8-B447-4306-8EB3-E730FCD08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7</Pages>
  <Words>2711</Words>
  <Characters>15459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Maria de la Barra</dc:creator>
  <cp:keywords/>
  <dc:description/>
  <cp:lastModifiedBy>Claire Wells</cp:lastModifiedBy>
  <cp:revision>128</cp:revision>
  <cp:lastPrinted>2026-05-12T14:31:00Z</cp:lastPrinted>
  <dcterms:created xsi:type="dcterms:W3CDTF">2025-10-31T15:17:00Z</dcterms:created>
  <dcterms:modified xsi:type="dcterms:W3CDTF">2026-05-28T07:49:00Z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c71873ee-5b70-49bf-a97f-92d463301e3e</vt:lpwstr>
  </property>
</Properties>
</file>