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E235E" w14:textId="77777777" w:rsidR="003A004B" w:rsidRPr="003A004B" w:rsidRDefault="003A004B" w:rsidP="003A004B">
      <w:pPr>
        <w:rPr>
          <w:b/>
          <w:bCs/>
        </w:rPr>
      </w:pPr>
      <w:r w:rsidRPr="003A004B">
        <w:rPr>
          <w:b/>
          <w:bCs/>
        </w:rPr>
        <w:t>Tree carbon accumulation among habitats with varying levels of ash dieback, Wytham Woods, Oxfordshire, UK, 2021-2022</w:t>
      </w:r>
    </w:p>
    <w:p w14:paraId="0F369B0A" w14:textId="77777777" w:rsidR="003A004B" w:rsidRDefault="00F53F43" w:rsidP="00F05B2F">
      <w:r>
        <w:t xml:space="preserve">Data </w:t>
      </w:r>
      <w:r w:rsidR="00F05B2F">
        <w:t xml:space="preserve">gathering took place in 15 plots (40m x 40m) with varying ash dieback status as described in “habitat” below. </w:t>
      </w:r>
      <w:r w:rsidR="003A004B" w:rsidRPr="003A004B">
        <w:t>Data were collected from 15 plots across Wytham Woods, near Oxford in southern England, to measure the accumulation of carbon (MgC/ha/year) among tree species and size classes from three experimental plot types (15 plots in total, five plots per type). The plot types include ash dominated (AD), ash dominated where ash trees have been girdled (ADG), and non-ash dominated (NAD) plots. The data contributed to a project on the ecological impact of ash dieback and were used to quantify the growth rates, and carbon accumulation, among habitats with varying levels of ash dieback represented by different treatments.</w:t>
      </w:r>
    </w:p>
    <w:p w14:paraId="76315AC2" w14:textId="3CE68482" w:rsidR="00F05B2F" w:rsidRDefault="00F53F43" w:rsidP="00F05B2F">
      <w:r>
        <w:t>T</w:t>
      </w:r>
      <w:r w:rsidRPr="00F53F43">
        <w:t>ree censuses were conducted in each plot in November 2020, September 2021, and September 2022 during which all trees were identified to species and the diameter at breast height (DBH) was recorded</w:t>
      </w:r>
      <w:r w:rsidR="00070A16">
        <w:t xml:space="preserve"> using a tape measure</w:t>
      </w:r>
      <w:r w:rsidRPr="00F53F43">
        <w:t xml:space="preserve"> at 1.3 m. All trees with a diameter above 1 cm were measured.</w:t>
      </w:r>
      <w:r>
        <w:t xml:space="preserve"> Details of biomass growth rate calculation can be found </w:t>
      </w:r>
      <w:r w:rsidR="003A004B">
        <w:t xml:space="preserve">in </w:t>
      </w:r>
      <w:r w:rsidR="003A004B">
        <w:t xml:space="preserve">Dahlsjö, </w:t>
      </w:r>
      <w:r w:rsidR="003A004B">
        <w:t xml:space="preserve">and </w:t>
      </w:r>
      <w:r w:rsidR="003A004B">
        <w:t>Malhi, 2024</w:t>
      </w:r>
      <w:r w:rsidR="003A004B">
        <w:t>.</w:t>
      </w:r>
    </w:p>
    <w:p w14:paraId="24E0ADB9" w14:textId="0D23FEB9" w:rsidR="00F53F43" w:rsidRDefault="00F53F43" w:rsidP="00F05B2F">
      <w:r>
        <w:t>Biomass growth rates were converted to carbon assuming that all woody stems contained 4</w:t>
      </w:r>
      <w:r w:rsidR="00C20AB6">
        <w:t>9</w:t>
      </w:r>
      <w:r>
        <w:t xml:space="preserve">% carbon. </w:t>
      </w:r>
    </w:p>
    <w:p w14:paraId="751D2C48" w14:textId="09E86DFD" w:rsidR="009402E5" w:rsidRDefault="009402E5" w:rsidP="00F05B2F">
      <w:r>
        <w:t xml:space="preserve">During data cleaning trees that had an annual growth rate of ± 10 cm were removed due to suspected sampling error. Negative growth was included due to the possibility of stems to shrink during dry periods or periods of stress. </w:t>
      </w:r>
    </w:p>
    <w:p w14:paraId="4E7BEF74" w14:textId="77777777" w:rsidR="00F53F43" w:rsidRDefault="00F53F43" w:rsidP="00F05B2F"/>
    <w:p w14:paraId="5E73BB76" w14:textId="4D3F01D4" w:rsidR="00F05B2F" w:rsidRDefault="00F05B2F" w:rsidP="00F05B2F">
      <w:r>
        <w:t>Metadata</w:t>
      </w:r>
      <w:r w:rsidR="000C642C">
        <w:t xml:space="preserve"> for </w:t>
      </w:r>
      <w:r w:rsidR="000C642C" w:rsidRPr="000C642C">
        <w:t>Wytham_tree_carbon_accumulation_2021-2022</w:t>
      </w:r>
    </w:p>
    <w:tbl>
      <w:tblPr>
        <w:tblStyle w:val="TableGrid"/>
        <w:tblW w:w="10490" w:type="dxa"/>
        <w:tblInd w:w="-856" w:type="dxa"/>
        <w:tblLook w:val="04A0" w:firstRow="1" w:lastRow="0" w:firstColumn="1" w:lastColumn="0" w:noHBand="0" w:noVBand="1"/>
      </w:tblPr>
      <w:tblGrid>
        <w:gridCol w:w="2694"/>
        <w:gridCol w:w="7796"/>
      </w:tblGrid>
      <w:tr w:rsidR="00F05B2F" w14:paraId="285C4A3E" w14:textId="77777777" w:rsidTr="00CD7499">
        <w:tc>
          <w:tcPr>
            <w:tcW w:w="2694" w:type="dxa"/>
            <w:vAlign w:val="bottom"/>
          </w:tcPr>
          <w:p w14:paraId="5E72685D" w14:textId="59CC9447" w:rsidR="00F05B2F" w:rsidRDefault="00F05B2F" w:rsidP="00F05B2F">
            <w:r>
              <w:rPr>
                <w:rFonts w:ascii="Aptos Narrow" w:hAnsi="Aptos Narrow"/>
                <w:color w:val="000000"/>
              </w:rPr>
              <w:t>plot_location</w:t>
            </w:r>
          </w:p>
        </w:tc>
        <w:tc>
          <w:tcPr>
            <w:tcW w:w="7796" w:type="dxa"/>
            <w:vAlign w:val="bottom"/>
          </w:tcPr>
          <w:p w14:paraId="661AAC99" w14:textId="162FBB40" w:rsidR="00F05B2F" w:rsidRDefault="00F05B2F" w:rsidP="00F05B2F">
            <w:r>
              <w:rPr>
                <w:rFonts w:ascii="Aptos Narrow" w:hAnsi="Aptos Narrow"/>
                <w:color w:val="000000"/>
              </w:rPr>
              <w:t xml:space="preserve">Five locations across Wytham Woods were surveyed. Three habitat types (ADG, AD, NAD) </w:t>
            </w:r>
            <w:proofErr w:type="gramStart"/>
            <w:r>
              <w:rPr>
                <w:rFonts w:ascii="Aptos Narrow" w:hAnsi="Aptos Narrow"/>
                <w:color w:val="000000"/>
              </w:rPr>
              <w:t>were located in</w:t>
            </w:r>
            <w:proofErr w:type="gramEnd"/>
            <w:r>
              <w:rPr>
                <w:rFonts w:ascii="Aptos Narrow" w:hAnsi="Aptos Narrow"/>
                <w:color w:val="000000"/>
              </w:rPr>
              <w:t xml:space="preserve"> each location. </w:t>
            </w:r>
          </w:p>
        </w:tc>
      </w:tr>
      <w:tr w:rsidR="00F05B2F" w14:paraId="02CB6F2A" w14:textId="77777777" w:rsidTr="00CD7499">
        <w:tc>
          <w:tcPr>
            <w:tcW w:w="2694" w:type="dxa"/>
            <w:vAlign w:val="bottom"/>
          </w:tcPr>
          <w:p w14:paraId="7798EC22" w14:textId="672549C1" w:rsidR="00F05B2F" w:rsidRDefault="00F05B2F" w:rsidP="00F05B2F">
            <w:r>
              <w:rPr>
                <w:rFonts w:ascii="Aptos Narrow" w:hAnsi="Aptos Narrow"/>
                <w:color w:val="000000"/>
              </w:rPr>
              <w:t>habitat</w:t>
            </w:r>
          </w:p>
        </w:tc>
        <w:tc>
          <w:tcPr>
            <w:tcW w:w="7796" w:type="dxa"/>
            <w:vAlign w:val="bottom"/>
          </w:tcPr>
          <w:p w14:paraId="40A7DCB9" w14:textId="66E35F0E" w:rsidR="00F05B2F" w:rsidRDefault="00F05B2F" w:rsidP="00F05B2F">
            <w:r>
              <w:rPr>
                <w:rFonts w:ascii="Aptos Narrow" w:hAnsi="Aptos Narrow"/>
                <w:color w:val="000000"/>
              </w:rPr>
              <w:t xml:space="preserve">Habitats ADG, AD, NAD include: ADG = high ash abundance, all ash trees ring barked/ girdled in late 2020/ early 2021, AD = high ash abundance, naturally progressing ash dieback, NAD = low ash abundance &lt;20% of the tree basal area. </w:t>
            </w:r>
          </w:p>
        </w:tc>
      </w:tr>
      <w:tr w:rsidR="00F05B2F" w14:paraId="6B19C2D9" w14:textId="77777777" w:rsidTr="00CD7499">
        <w:tc>
          <w:tcPr>
            <w:tcW w:w="2694" w:type="dxa"/>
            <w:vAlign w:val="bottom"/>
          </w:tcPr>
          <w:p w14:paraId="51745C73" w14:textId="28009638" w:rsidR="00F05B2F" w:rsidRDefault="00F05B2F" w:rsidP="00F05B2F">
            <w:r>
              <w:rPr>
                <w:rFonts w:ascii="Aptos Narrow" w:hAnsi="Aptos Narrow"/>
                <w:color w:val="000000"/>
              </w:rPr>
              <w:t>species</w:t>
            </w:r>
          </w:p>
        </w:tc>
        <w:tc>
          <w:tcPr>
            <w:tcW w:w="7796" w:type="dxa"/>
            <w:vAlign w:val="bottom"/>
          </w:tcPr>
          <w:p w14:paraId="780B7879" w14:textId="71B6F5BB" w:rsidR="00F05B2F" w:rsidRDefault="00F05B2F" w:rsidP="00F05B2F">
            <w:r>
              <w:rPr>
                <w:rFonts w:ascii="Aptos Narrow" w:hAnsi="Aptos Narrow"/>
                <w:color w:val="000000"/>
              </w:rPr>
              <w:t xml:space="preserve">Species of tree </w:t>
            </w:r>
          </w:p>
        </w:tc>
      </w:tr>
      <w:tr w:rsidR="00F05B2F" w14:paraId="4FC687AF" w14:textId="77777777" w:rsidTr="00CD7499">
        <w:tc>
          <w:tcPr>
            <w:tcW w:w="2694" w:type="dxa"/>
            <w:vAlign w:val="bottom"/>
          </w:tcPr>
          <w:p w14:paraId="5654F9A3" w14:textId="560E7877" w:rsidR="00F05B2F" w:rsidRDefault="00F05B2F" w:rsidP="00F05B2F">
            <w:r>
              <w:rPr>
                <w:rFonts w:ascii="Aptos Narrow" w:hAnsi="Aptos Narrow"/>
                <w:color w:val="000000"/>
              </w:rPr>
              <w:t>size_class</w:t>
            </w:r>
          </w:p>
        </w:tc>
        <w:tc>
          <w:tcPr>
            <w:tcW w:w="7796" w:type="dxa"/>
            <w:vAlign w:val="bottom"/>
          </w:tcPr>
          <w:p w14:paraId="14F9D755" w14:textId="7A0C68A9" w:rsidR="00F05B2F" w:rsidRDefault="00F05B2F" w:rsidP="00F05B2F">
            <w:r>
              <w:rPr>
                <w:rFonts w:ascii="Aptos Narrow" w:hAnsi="Aptos Narrow"/>
                <w:color w:val="000000"/>
              </w:rPr>
              <w:t xml:space="preserve">Size class category </w:t>
            </w:r>
          </w:p>
        </w:tc>
      </w:tr>
      <w:tr w:rsidR="00F05B2F" w14:paraId="0052B272" w14:textId="77777777" w:rsidTr="00CD7499">
        <w:tc>
          <w:tcPr>
            <w:tcW w:w="2694" w:type="dxa"/>
            <w:vAlign w:val="bottom"/>
          </w:tcPr>
          <w:p w14:paraId="0E501A12" w14:textId="4EBE05B2" w:rsidR="00F05B2F" w:rsidRDefault="00F05B2F" w:rsidP="00F05B2F">
            <w:r>
              <w:rPr>
                <w:rFonts w:ascii="Aptos Narrow" w:hAnsi="Aptos Narrow"/>
                <w:color w:val="000000"/>
              </w:rPr>
              <w:t>year</w:t>
            </w:r>
          </w:p>
        </w:tc>
        <w:tc>
          <w:tcPr>
            <w:tcW w:w="7796" w:type="dxa"/>
            <w:vAlign w:val="bottom"/>
          </w:tcPr>
          <w:p w14:paraId="3204E1AF" w14:textId="4F9BB0FC" w:rsidR="00F05B2F" w:rsidRDefault="00F05B2F" w:rsidP="00F05B2F">
            <w:r>
              <w:rPr>
                <w:rFonts w:ascii="Aptos Narrow" w:hAnsi="Aptos Narrow"/>
                <w:color w:val="000000"/>
              </w:rPr>
              <w:t xml:space="preserve">The year at which accumulation was calculated. The year 2021 represents growth between October 2020 – September 2021 and the year 2022 represents growth between September 2021 – September 2022. </w:t>
            </w:r>
          </w:p>
        </w:tc>
      </w:tr>
      <w:tr w:rsidR="00F05B2F" w14:paraId="22BEDB07" w14:textId="77777777" w:rsidTr="00CD7499">
        <w:tc>
          <w:tcPr>
            <w:tcW w:w="2694" w:type="dxa"/>
            <w:vAlign w:val="bottom"/>
          </w:tcPr>
          <w:p w14:paraId="7F9477E8" w14:textId="312B400A" w:rsidR="00F05B2F" w:rsidRDefault="00F05B2F" w:rsidP="00F05B2F">
            <w:r>
              <w:rPr>
                <w:rFonts w:ascii="Aptos Narrow" w:hAnsi="Aptos Narrow"/>
                <w:color w:val="000000"/>
              </w:rPr>
              <w:t>MgC_ha_year</w:t>
            </w:r>
          </w:p>
        </w:tc>
        <w:tc>
          <w:tcPr>
            <w:tcW w:w="7796" w:type="dxa"/>
            <w:vAlign w:val="bottom"/>
          </w:tcPr>
          <w:p w14:paraId="7DC8FDD5" w14:textId="2207876D" w:rsidR="00F05B2F" w:rsidRDefault="00F05B2F" w:rsidP="00F05B2F">
            <w:r>
              <w:t xml:space="preserve">The accumulation of carbon for each growth cycle expressed in mega grams carbon per hectare per year.  </w:t>
            </w:r>
          </w:p>
        </w:tc>
      </w:tr>
    </w:tbl>
    <w:p w14:paraId="393518DA" w14:textId="77777777" w:rsidR="0093058C" w:rsidRDefault="0093058C"/>
    <w:p w14:paraId="3C909D5C" w14:textId="53D90559" w:rsidR="003A004B" w:rsidRDefault="003A004B">
      <w:r>
        <w:t>Reference</w:t>
      </w:r>
    </w:p>
    <w:p w14:paraId="4A7D1DE2" w14:textId="69AAB6D2" w:rsidR="003A004B" w:rsidRDefault="003A004B" w:rsidP="003A004B">
      <w:r>
        <w:t>Cecilia A.L. Dahlsjö, Yadvinder Malhi,</w:t>
      </w:r>
      <w:r>
        <w:t xml:space="preserve"> 2024,  </w:t>
      </w:r>
      <w:r>
        <w:t>Unravelling a hidden synergy: How pathogen-climate interactions transform habitat hydrology and affect tree growth,</w:t>
      </w:r>
      <w:r>
        <w:t xml:space="preserve"> </w:t>
      </w:r>
      <w:r>
        <w:t>Science of The Total Environment,</w:t>
      </w:r>
      <w:r>
        <w:t xml:space="preserve"> </w:t>
      </w:r>
      <w:r>
        <w:t>Volume 954,</w:t>
      </w:r>
      <w:r>
        <w:t xml:space="preserve"> </w:t>
      </w:r>
      <w:r>
        <w:t>ISSN 0048-9697,</w:t>
      </w:r>
      <w:r>
        <w:t xml:space="preserve"> </w:t>
      </w:r>
      <w:hyperlink r:id="rId4" w:history="1">
        <w:r w:rsidRPr="00AC5A98">
          <w:rPr>
            <w:rStyle w:val="Hyperlink"/>
          </w:rPr>
          <w:t>https://doi.org/10.1016/j.scitotenv.2024.176325</w:t>
        </w:r>
      </w:hyperlink>
      <w:r>
        <w:t>.</w:t>
      </w:r>
      <w:r>
        <w:t xml:space="preserve"> </w:t>
      </w:r>
      <w:r>
        <w:t>(https://www.sciencedirect.com/science/article/pii/S0048969724064817)</w:t>
      </w:r>
    </w:p>
    <w:sectPr w:rsidR="003A00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B2F"/>
    <w:rsid w:val="00070A16"/>
    <w:rsid w:val="000B1A6E"/>
    <w:rsid w:val="000C642C"/>
    <w:rsid w:val="002C4A7B"/>
    <w:rsid w:val="003A004B"/>
    <w:rsid w:val="00727EC4"/>
    <w:rsid w:val="0093058C"/>
    <w:rsid w:val="009402E5"/>
    <w:rsid w:val="00C20AB6"/>
    <w:rsid w:val="00F05B2F"/>
    <w:rsid w:val="00F53F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5396C"/>
  <w15:chartTrackingRefBased/>
  <w15:docId w15:val="{CCDB616F-D0AD-458E-896E-595C6C361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B2F"/>
    <w:pPr>
      <w:spacing w:line="259" w:lineRule="auto"/>
    </w:pPr>
    <w:rPr>
      <w:sz w:val="22"/>
      <w:szCs w:val="22"/>
    </w:rPr>
  </w:style>
  <w:style w:type="paragraph" w:styleId="Heading1">
    <w:name w:val="heading 1"/>
    <w:basedOn w:val="Normal"/>
    <w:next w:val="Normal"/>
    <w:link w:val="Heading1Char"/>
    <w:uiPriority w:val="9"/>
    <w:qFormat/>
    <w:rsid w:val="00F05B2F"/>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5B2F"/>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5B2F"/>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5B2F"/>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F05B2F"/>
    <w:pPr>
      <w:keepNext/>
      <w:keepLines/>
      <w:spacing w:before="80" w:after="40" w:line="278"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F05B2F"/>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F05B2F"/>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F05B2F"/>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F05B2F"/>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5B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5B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5B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5B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5B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5B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5B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5B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5B2F"/>
    <w:rPr>
      <w:rFonts w:eastAsiaTheme="majorEastAsia" w:cstheme="majorBidi"/>
      <w:color w:val="272727" w:themeColor="text1" w:themeTint="D8"/>
    </w:rPr>
  </w:style>
  <w:style w:type="paragraph" w:styleId="Title">
    <w:name w:val="Title"/>
    <w:basedOn w:val="Normal"/>
    <w:next w:val="Normal"/>
    <w:link w:val="TitleChar"/>
    <w:uiPriority w:val="10"/>
    <w:qFormat/>
    <w:rsid w:val="00F05B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5B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5B2F"/>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5B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5B2F"/>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F05B2F"/>
    <w:rPr>
      <w:i/>
      <w:iCs/>
      <w:color w:val="404040" w:themeColor="text1" w:themeTint="BF"/>
    </w:rPr>
  </w:style>
  <w:style w:type="paragraph" w:styleId="ListParagraph">
    <w:name w:val="List Paragraph"/>
    <w:basedOn w:val="Normal"/>
    <w:uiPriority w:val="34"/>
    <w:qFormat/>
    <w:rsid w:val="00F05B2F"/>
    <w:pPr>
      <w:spacing w:line="278" w:lineRule="auto"/>
      <w:ind w:left="720"/>
      <w:contextualSpacing/>
    </w:pPr>
    <w:rPr>
      <w:sz w:val="24"/>
      <w:szCs w:val="24"/>
    </w:rPr>
  </w:style>
  <w:style w:type="character" w:styleId="IntenseEmphasis">
    <w:name w:val="Intense Emphasis"/>
    <w:basedOn w:val="DefaultParagraphFont"/>
    <w:uiPriority w:val="21"/>
    <w:qFormat/>
    <w:rsid w:val="00F05B2F"/>
    <w:rPr>
      <w:i/>
      <w:iCs/>
      <w:color w:val="0F4761" w:themeColor="accent1" w:themeShade="BF"/>
    </w:rPr>
  </w:style>
  <w:style w:type="paragraph" w:styleId="IntenseQuote">
    <w:name w:val="Intense Quote"/>
    <w:basedOn w:val="Normal"/>
    <w:next w:val="Normal"/>
    <w:link w:val="IntenseQuoteChar"/>
    <w:uiPriority w:val="30"/>
    <w:qFormat/>
    <w:rsid w:val="00F05B2F"/>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sid w:val="00F05B2F"/>
    <w:rPr>
      <w:i/>
      <w:iCs/>
      <w:color w:val="0F4761" w:themeColor="accent1" w:themeShade="BF"/>
    </w:rPr>
  </w:style>
  <w:style w:type="character" w:styleId="IntenseReference">
    <w:name w:val="Intense Reference"/>
    <w:basedOn w:val="DefaultParagraphFont"/>
    <w:uiPriority w:val="32"/>
    <w:qFormat/>
    <w:rsid w:val="00F05B2F"/>
    <w:rPr>
      <w:b/>
      <w:bCs/>
      <w:smallCaps/>
      <w:color w:val="0F4761" w:themeColor="accent1" w:themeShade="BF"/>
      <w:spacing w:val="5"/>
    </w:rPr>
  </w:style>
  <w:style w:type="table" w:styleId="TableGrid">
    <w:name w:val="Table Grid"/>
    <w:basedOn w:val="TableNormal"/>
    <w:uiPriority w:val="39"/>
    <w:rsid w:val="00F05B2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53F43"/>
    <w:rPr>
      <w:color w:val="467886" w:themeColor="hyperlink"/>
      <w:u w:val="single"/>
    </w:rPr>
  </w:style>
  <w:style w:type="character" w:styleId="UnresolvedMention">
    <w:name w:val="Unresolved Mention"/>
    <w:basedOn w:val="DefaultParagraphFont"/>
    <w:uiPriority w:val="99"/>
    <w:semiHidden/>
    <w:unhideWhenUsed/>
    <w:rsid w:val="00F53F43"/>
    <w:rPr>
      <w:color w:val="605E5C"/>
      <w:shd w:val="clear" w:color="auto" w:fill="E1DFDD"/>
    </w:rPr>
  </w:style>
  <w:style w:type="character" w:styleId="FollowedHyperlink">
    <w:name w:val="FollowedHyperlink"/>
    <w:basedOn w:val="DefaultParagraphFont"/>
    <w:uiPriority w:val="99"/>
    <w:semiHidden/>
    <w:unhideWhenUsed/>
    <w:rsid w:val="000C642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384161">
      <w:bodyDiv w:val="1"/>
      <w:marLeft w:val="0"/>
      <w:marRight w:val="0"/>
      <w:marTop w:val="0"/>
      <w:marBottom w:val="0"/>
      <w:divBdr>
        <w:top w:val="none" w:sz="0" w:space="0" w:color="auto"/>
        <w:left w:val="none" w:sz="0" w:space="0" w:color="auto"/>
        <w:bottom w:val="none" w:sz="0" w:space="0" w:color="auto"/>
        <w:right w:val="none" w:sz="0" w:space="0" w:color="auto"/>
      </w:divBdr>
    </w:div>
    <w:div w:id="173804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i.org/10.1016/j.scitotenv.2024.1763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 Dahlsjo</dc:creator>
  <cp:keywords/>
  <dc:description/>
  <cp:lastModifiedBy>Katherine Wright</cp:lastModifiedBy>
  <cp:revision>6</cp:revision>
  <dcterms:created xsi:type="dcterms:W3CDTF">2025-11-27T10:15:00Z</dcterms:created>
  <dcterms:modified xsi:type="dcterms:W3CDTF">2026-01-26T15:20:00Z</dcterms:modified>
</cp:coreProperties>
</file>