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73655" w14:textId="5193A3FF" w:rsidR="009B525C" w:rsidRPr="0087230B" w:rsidRDefault="009B525C" w:rsidP="0087230B">
      <w:pPr>
        <w:jc w:val="center"/>
        <w:rPr>
          <w:rFonts w:ascii="Times New Roman" w:hAnsi="Times New Roman" w:cs="Times New Roman"/>
          <w:b/>
          <w:sz w:val="24"/>
          <w:szCs w:val="24"/>
        </w:rPr>
      </w:pPr>
      <w:r w:rsidRPr="00A87ED6">
        <w:rPr>
          <w:rFonts w:ascii="Times New Roman" w:hAnsi="Times New Roman" w:cs="Times New Roman"/>
          <w:b/>
          <w:sz w:val="24"/>
          <w:szCs w:val="24"/>
        </w:rPr>
        <w:t>Ammonia concentrations from high-elevation Himalayan forests</w:t>
      </w:r>
      <w:r w:rsidR="008F7EF7">
        <w:rPr>
          <w:rFonts w:ascii="Times New Roman" w:hAnsi="Times New Roman" w:cs="Times New Roman"/>
          <w:b/>
          <w:sz w:val="24"/>
          <w:szCs w:val="24"/>
        </w:rPr>
        <w:t xml:space="preserve"> </w:t>
      </w:r>
      <w:r w:rsidR="008F7EF7" w:rsidRPr="008F7EF7">
        <w:rPr>
          <w:rFonts w:ascii="Times New Roman" w:hAnsi="Times New Roman" w:cs="Times New Roman"/>
          <w:b/>
          <w:sz w:val="24"/>
          <w:szCs w:val="24"/>
        </w:rPr>
        <w:t>and a Sri Lankan tropical forest</w:t>
      </w:r>
      <w:r w:rsidRPr="00A87ED6">
        <w:rPr>
          <w:rFonts w:ascii="Times New Roman" w:hAnsi="Times New Roman" w:cs="Times New Roman"/>
          <w:b/>
          <w:sz w:val="24"/>
          <w:szCs w:val="24"/>
        </w:rPr>
        <w:t xml:space="preserve"> </w:t>
      </w:r>
      <w:r w:rsidRPr="0087230B">
        <w:rPr>
          <w:rFonts w:ascii="Times New Roman" w:hAnsi="Times New Roman" w:cs="Times New Roman"/>
          <w:b/>
          <w:sz w:val="24"/>
          <w:szCs w:val="24"/>
        </w:rPr>
        <w:t>(202</w:t>
      </w:r>
      <w:r>
        <w:rPr>
          <w:rFonts w:ascii="Times New Roman" w:hAnsi="Times New Roman" w:cs="Times New Roman"/>
          <w:b/>
          <w:sz w:val="24"/>
          <w:szCs w:val="24"/>
        </w:rPr>
        <w:t>2</w:t>
      </w:r>
      <w:r w:rsidRPr="0087230B">
        <w:rPr>
          <w:rFonts w:ascii="Times New Roman" w:hAnsi="Times New Roman" w:cs="Times New Roman"/>
          <w:b/>
          <w:sz w:val="24"/>
          <w:szCs w:val="24"/>
        </w:rPr>
        <w:t>-202</w:t>
      </w:r>
      <w:r>
        <w:rPr>
          <w:rFonts w:ascii="Times New Roman" w:hAnsi="Times New Roman" w:cs="Times New Roman"/>
          <w:b/>
          <w:sz w:val="24"/>
          <w:szCs w:val="24"/>
        </w:rPr>
        <w:t>4</w:t>
      </w:r>
      <w:r w:rsidRPr="0087230B">
        <w:rPr>
          <w:rFonts w:ascii="Times New Roman" w:hAnsi="Times New Roman" w:cs="Times New Roman"/>
          <w:b/>
          <w:sz w:val="24"/>
          <w:szCs w:val="24"/>
        </w:rPr>
        <w:t>)</w:t>
      </w:r>
    </w:p>
    <w:p w14:paraId="579C1FA9" w14:textId="77777777" w:rsidR="009B525C" w:rsidRPr="0087230B" w:rsidRDefault="009B525C" w:rsidP="0087230B">
      <w:pPr>
        <w:jc w:val="center"/>
        <w:rPr>
          <w:rFonts w:ascii="Times New Roman" w:hAnsi="Times New Roman" w:cs="Times New Roman"/>
          <w:sz w:val="24"/>
          <w:szCs w:val="24"/>
        </w:rPr>
      </w:pPr>
      <w:r w:rsidRPr="0087230B">
        <w:rPr>
          <w:rFonts w:ascii="Times New Roman" w:hAnsi="Times New Roman" w:cs="Times New Roman"/>
          <w:sz w:val="24"/>
          <w:szCs w:val="24"/>
        </w:rPr>
        <w:t>Deshpande, A.G.</w:t>
      </w:r>
      <w:r>
        <w:rPr>
          <w:rFonts w:ascii="Times New Roman" w:hAnsi="Times New Roman" w:cs="Times New Roman"/>
          <w:sz w:val="24"/>
          <w:szCs w:val="24"/>
        </w:rPr>
        <w:t>, Ellis, C.J., Pradhan, S.P., Sharma, S., Asad, S.A., Tshering, D., Wangchuk, K., Chatterjee, S., Weerakoon, B., Nissanka, S.P., Ganguly, D., Prabhashwara, T., Duarte, F., Stephens, A., Iwanicka, A., Sutton, M.A. and</w:t>
      </w:r>
      <w:r w:rsidRPr="0087230B">
        <w:rPr>
          <w:rFonts w:ascii="Times New Roman" w:hAnsi="Times New Roman" w:cs="Times New Roman"/>
          <w:sz w:val="24"/>
          <w:szCs w:val="24"/>
        </w:rPr>
        <w:t xml:space="preserve"> Jones, M.R.</w:t>
      </w:r>
    </w:p>
    <w:p w14:paraId="54638E11" w14:textId="77777777" w:rsidR="009B525C" w:rsidRPr="00AF58A1" w:rsidRDefault="009B525C" w:rsidP="008F7EF7">
      <w:pPr>
        <w:jc w:val="both"/>
        <w:rPr>
          <w:rFonts w:ascii="Times New Roman" w:hAnsi="Times New Roman" w:cs="Times New Roman"/>
          <w:b/>
          <w:i/>
        </w:rPr>
      </w:pPr>
      <w:r>
        <w:rPr>
          <w:rFonts w:ascii="Times New Roman" w:hAnsi="Times New Roman" w:cs="Times New Roman"/>
          <w:b/>
          <w:i/>
        </w:rPr>
        <w:t>Background</w:t>
      </w:r>
    </w:p>
    <w:p w14:paraId="0A4DFA38" w14:textId="77777777" w:rsidR="009B525C" w:rsidRDefault="009B525C" w:rsidP="008F7EF7">
      <w:pPr>
        <w:jc w:val="both"/>
        <w:rPr>
          <w:rFonts w:ascii="Times New Roman" w:hAnsi="Times New Roman" w:cs="Times New Roman"/>
          <w:b/>
          <w:i/>
        </w:rPr>
      </w:pPr>
      <w:r w:rsidRPr="004B40F7">
        <w:rPr>
          <w:rFonts w:ascii="Times New Roman" w:hAnsi="Times New Roman" w:cs="Times New Roman"/>
          <w:bCs/>
          <w:iCs/>
        </w:rPr>
        <w:t>The South Asian region is a global hotspot of ammonia pollution with majority of the emissions originating from agriculture in the Indo-Gangetic plain. The biodiverse forests of the lower Himalayan range are extremely vulnerable to atmospheric ammonia, which is known to be highly detrimental to several plant species, especially non-vascular plants.</w:t>
      </w:r>
      <w:r>
        <w:rPr>
          <w:rFonts w:ascii="Times New Roman" w:hAnsi="Times New Roman" w:cs="Times New Roman"/>
          <w:bCs/>
          <w:iCs/>
        </w:rPr>
        <w:t xml:space="preserve"> Modelled estimates reveal that o</w:t>
      </w:r>
      <w:r w:rsidRPr="009358A2">
        <w:rPr>
          <w:rFonts w:ascii="Times New Roman" w:hAnsi="Times New Roman" w:cs="Times New Roman"/>
          <w:bCs/>
          <w:iCs/>
        </w:rPr>
        <w:t xml:space="preserve">ver 80% of Himalayan forests </w:t>
      </w:r>
      <w:r>
        <w:rPr>
          <w:rFonts w:ascii="Times New Roman" w:hAnsi="Times New Roman" w:cs="Times New Roman"/>
          <w:bCs/>
          <w:iCs/>
        </w:rPr>
        <w:t xml:space="preserve">have already exceeded ammonia critical level for lichens and </w:t>
      </w:r>
      <w:r w:rsidRPr="004B40F7">
        <w:rPr>
          <w:rFonts w:ascii="Times New Roman" w:hAnsi="Times New Roman" w:cs="Times New Roman"/>
          <w:bCs/>
          <w:iCs/>
        </w:rPr>
        <w:t xml:space="preserve">non-vascular plants </w:t>
      </w:r>
      <w:hyperlink r:id="rId4" w:history="1">
        <w:r>
          <w:rPr>
            <w:rFonts w:ascii="Times New Roman" w:eastAsia="Times New Roman" w:hAnsi="Times New Roman" w:cs="Times New Roman"/>
          </w:rPr>
          <w:t>(Ellis et al., 2022)</w:t>
        </w:r>
      </w:hyperlink>
      <w:r>
        <w:rPr>
          <w:rFonts w:ascii="Times New Roman" w:eastAsia="Times New Roman" w:hAnsi="Times New Roman" w:cs="Times New Roman"/>
        </w:rPr>
        <w:t xml:space="preserve">. </w:t>
      </w:r>
      <w:r w:rsidRPr="004B40F7">
        <w:rPr>
          <w:rFonts w:ascii="Times New Roman" w:hAnsi="Times New Roman" w:cs="Times New Roman"/>
          <w:bCs/>
          <w:iCs/>
        </w:rPr>
        <w:t>The transport of ammonia into the Himalayan forests poses a massive risk for this biodiverse region. The actual ammonia concentrations within the Himalayan forests, however, are completely unknown since no field measurements have been conducted so far. In this study, field measurements of atmospheric ammonia were conducted under forest canopies in the Himalayas in India, Pakistan, Nepal and Bhutan and in a tropical forest in Sri Lanka between 2022 and 2024.</w:t>
      </w:r>
      <w:r>
        <w:rPr>
          <w:rFonts w:ascii="Times New Roman" w:hAnsi="Times New Roman" w:cs="Times New Roman"/>
          <w:bCs/>
          <w:iCs/>
        </w:rPr>
        <w:t xml:space="preserve"> </w:t>
      </w:r>
      <w:r w:rsidRPr="004B40F7">
        <w:rPr>
          <w:rFonts w:ascii="Times New Roman" w:hAnsi="Times New Roman" w:cs="Times New Roman"/>
          <w:bCs/>
          <w:iCs/>
        </w:rPr>
        <w:t>This dataset provides the first ever empirical measurements of ammonia from South Asian forests and can be used to estimate ecological impact, inform policy decisions, validate atmospheric chemistry transport models and satellite data and design future air quality and ecological monitoring in the region.</w:t>
      </w:r>
    </w:p>
    <w:p w14:paraId="6C84FA3A" w14:textId="77777777" w:rsidR="009B525C" w:rsidRPr="00AF58A1" w:rsidRDefault="009B525C" w:rsidP="008F7EF7">
      <w:pPr>
        <w:jc w:val="both"/>
        <w:rPr>
          <w:rFonts w:ascii="Times New Roman" w:hAnsi="Times New Roman" w:cs="Times New Roman"/>
          <w:b/>
          <w:i/>
        </w:rPr>
      </w:pPr>
      <w:r w:rsidRPr="00AF58A1">
        <w:rPr>
          <w:rFonts w:ascii="Times New Roman" w:hAnsi="Times New Roman" w:cs="Times New Roman"/>
          <w:b/>
          <w:i/>
        </w:rPr>
        <w:t>Data collection</w:t>
      </w:r>
    </w:p>
    <w:p w14:paraId="448072A3" w14:textId="77777777" w:rsidR="009B525C" w:rsidRPr="004B40F7" w:rsidRDefault="009B525C" w:rsidP="008F7EF7">
      <w:pPr>
        <w:jc w:val="both"/>
        <w:rPr>
          <w:rFonts w:ascii="Times New Roman" w:hAnsi="Times New Roman" w:cs="Times New Roman"/>
          <w:bCs/>
          <w:iCs/>
        </w:rPr>
      </w:pPr>
      <w:r>
        <w:rPr>
          <w:rFonts w:ascii="Times New Roman" w:hAnsi="Times New Roman" w:cs="Times New Roman"/>
          <w:bCs/>
          <w:iCs/>
        </w:rPr>
        <w:t xml:space="preserve">The study was conducted at 32 sites </w:t>
      </w:r>
      <w:r w:rsidRPr="009B525C">
        <w:rPr>
          <w:rFonts w:ascii="Times New Roman" w:hAnsi="Times New Roman" w:cs="Times New Roman"/>
          <w:bCs/>
          <w:iCs/>
        </w:rPr>
        <w:t>in the Himalayas in India</w:t>
      </w:r>
      <w:r>
        <w:rPr>
          <w:rFonts w:ascii="Times New Roman" w:hAnsi="Times New Roman" w:cs="Times New Roman"/>
          <w:bCs/>
          <w:iCs/>
        </w:rPr>
        <w:t xml:space="preserve"> (5 sites)</w:t>
      </w:r>
      <w:r w:rsidRPr="009B525C">
        <w:rPr>
          <w:rFonts w:ascii="Times New Roman" w:hAnsi="Times New Roman" w:cs="Times New Roman"/>
          <w:bCs/>
          <w:iCs/>
        </w:rPr>
        <w:t>, Pakistan</w:t>
      </w:r>
      <w:r>
        <w:rPr>
          <w:rFonts w:ascii="Times New Roman" w:hAnsi="Times New Roman" w:cs="Times New Roman"/>
          <w:bCs/>
          <w:iCs/>
        </w:rPr>
        <w:t xml:space="preserve"> (11 sites)</w:t>
      </w:r>
      <w:r w:rsidRPr="009B525C">
        <w:rPr>
          <w:rFonts w:ascii="Times New Roman" w:hAnsi="Times New Roman" w:cs="Times New Roman"/>
          <w:bCs/>
          <w:iCs/>
        </w:rPr>
        <w:t xml:space="preserve">, Nepal </w:t>
      </w:r>
      <w:r>
        <w:rPr>
          <w:rFonts w:ascii="Times New Roman" w:hAnsi="Times New Roman" w:cs="Times New Roman"/>
          <w:bCs/>
          <w:iCs/>
        </w:rPr>
        <w:t xml:space="preserve">(10 sites) </w:t>
      </w:r>
      <w:r w:rsidRPr="009B525C">
        <w:rPr>
          <w:rFonts w:ascii="Times New Roman" w:hAnsi="Times New Roman" w:cs="Times New Roman"/>
          <w:bCs/>
          <w:iCs/>
        </w:rPr>
        <w:t xml:space="preserve">and Bhutan </w:t>
      </w:r>
      <w:r>
        <w:rPr>
          <w:rFonts w:ascii="Times New Roman" w:hAnsi="Times New Roman" w:cs="Times New Roman"/>
          <w:bCs/>
          <w:iCs/>
        </w:rPr>
        <w:t xml:space="preserve">(6 sites) </w:t>
      </w:r>
      <w:r w:rsidRPr="009B525C">
        <w:rPr>
          <w:rFonts w:ascii="Times New Roman" w:hAnsi="Times New Roman" w:cs="Times New Roman"/>
          <w:bCs/>
          <w:iCs/>
        </w:rPr>
        <w:t xml:space="preserve">and </w:t>
      </w:r>
      <w:r>
        <w:rPr>
          <w:rFonts w:ascii="Times New Roman" w:hAnsi="Times New Roman" w:cs="Times New Roman"/>
          <w:bCs/>
          <w:iCs/>
        </w:rPr>
        <w:t xml:space="preserve">one site </w:t>
      </w:r>
      <w:r w:rsidRPr="009B525C">
        <w:rPr>
          <w:rFonts w:ascii="Times New Roman" w:hAnsi="Times New Roman" w:cs="Times New Roman"/>
          <w:bCs/>
          <w:iCs/>
        </w:rPr>
        <w:t>in a tropical forest in Sri Lanka</w:t>
      </w:r>
      <w:r>
        <w:rPr>
          <w:rFonts w:ascii="Times New Roman" w:hAnsi="Times New Roman" w:cs="Times New Roman"/>
          <w:bCs/>
          <w:iCs/>
        </w:rPr>
        <w:t xml:space="preserve">. </w:t>
      </w:r>
      <w:r w:rsidRPr="009B525C">
        <w:rPr>
          <w:rFonts w:ascii="Times New Roman" w:hAnsi="Times New Roman" w:cs="Times New Roman"/>
          <w:bCs/>
          <w:iCs/>
        </w:rPr>
        <w:t>Starting May 2022</w:t>
      </w:r>
      <w:r>
        <w:rPr>
          <w:rFonts w:ascii="Times New Roman" w:hAnsi="Times New Roman" w:cs="Times New Roman"/>
          <w:bCs/>
          <w:iCs/>
        </w:rPr>
        <w:t xml:space="preserve">, </w:t>
      </w:r>
      <w:r w:rsidRPr="009B525C">
        <w:rPr>
          <w:rFonts w:ascii="Times New Roman" w:hAnsi="Times New Roman" w:cs="Times New Roman"/>
          <w:bCs/>
          <w:iCs/>
        </w:rPr>
        <w:t>triplicate sets of UKCEH Adapted Low-cost Passive High Absorption (ALPHA</w:t>
      </w:r>
      <w:r w:rsidRPr="009B525C">
        <w:rPr>
          <w:rFonts w:ascii="Times New Roman" w:hAnsi="Times New Roman" w:cs="Times New Roman"/>
          <w:bCs/>
          <w:iCs/>
          <w:vertAlign w:val="superscript"/>
        </w:rPr>
        <w:t>®</w:t>
      </w:r>
      <w:r w:rsidRPr="009B525C">
        <w:rPr>
          <w:rFonts w:ascii="Times New Roman" w:hAnsi="Times New Roman" w:cs="Times New Roman"/>
          <w:bCs/>
          <w:iCs/>
        </w:rPr>
        <w:t xml:space="preserve">) samplers </w:t>
      </w:r>
      <w:hyperlink r:id="rId5" w:history="1">
        <w:r>
          <w:rPr>
            <w:rFonts w:ascii="Times New Roman" w:eastAsia="Times New Roman" w:hAnsi="Times New Roman" w:cs="Times New Roman"/>
          </w:rPr>
          <w:t>(Tang et al., 2001)</w:t>
        </w:r>
      </w:hyperlink>
      <w:r>
        <w:rPr>
          <w:rFonts w:ascii="Times New Roman" w:eastAsia="Times New Roman" w:hAnsi="Times New Roman" w:cs="Times New Roman"/>
        </w:rPr>
        <w:t xml:space="preserve"> </w:t>
      </w:r>
      <w:r w:rsidRPr="009B525C">
        <w:rPr>
          <w:rFonts w:ascii="Times New Roman" w:hAnsi="Times New Roman" w:cs="Times New Roman"/>
          <w:bCs/>
          <w:iCs/>
        </w:rPr>
        <w:t>were deployed under the forest canopy at sites buffered by at least 500 m of continuous forest on all sides.</w:t>
      </w:r>
      <w:r>
        <w:rPr>
          <w:rFonts w:ascii="Times New Roman" w:hAnsi="Times New Roman" w:cs="Times New Roman"/>
          <w:bCs/>
          <w:iCs/>
        </w:rPr>
        <w:t xml:space="preserve"> </w:t>
      </w:r>
      <w:r w:rsidRPr="009B525C">
        <w:rPr>
          <w:rFonts w:ascii="Times New Roman" w:hAnsi="Times New Roman" w:cs="Times New Roman"/>
          <w:bCs/>
          <w:iCs/>
        </w:rPr>
        <w:t xml:space="preserve">The exposed samplers were replaced with fresh ones at the end of each month. The exposed samplers from India, Nepal, Bhutan and Sri Lanka were analysed at the National Centre for Sustainable Coastal Management, Chennai and samplers from Pakistan were analysed at UKCEH, Edinburgh using the salicylate method. Blank samplers for each period were also analysed. The analysis provides the concentration of ammonium ions absorbed by each sampler. This is further converted to atmospheric ammonia concentration using an uptake rate which determined annually in the UK by co-locating the ALPHA samplers with UKCEH </w:t>
      </w:r>
      <w:proofErr w:type="spellStart"/>
      <w:r w:rsidRPr="009B525C">
        <w:rPr>
          <w:rFonts w:ascii="Times New Roman" w:hAnsi="Times New Roman" w:cs="Times New Roman"/>
          <w:bCs/>
          <w:iCs/>
        </w:rPr>
        <w:t>DEnuder</w:t>
      </w:r>
      <w:proofErr w:type="spellEnd"/>
      <w:r w:rsidRPr="009B525C">
        <w:rPr>
          <w:rFonts w:ascii="Times New Roman" w:hAnsi="Times New Roman" w:cs="Times New Roman"/>
          <w:bCs/>
          <w:iCs/>
        </w:rPr>
        <w:t xml:space="preserve"> for Long-Term Atmospheric sampling (DELTA</w:t>
      </w:r>
      <w:r w:rsidRPr="009B525C">
        <w:rPr>
          <w:rFonts w:ascii="Times New Roman" w:hAnsi="Times New Roman" w:cs="Times New Roman"/>
          <w:bCs/>
          <w:iCs/>
          <w:vertAlign w:val="superscript"/>
        </w:rPr>
        <w:t>®</w:t>
      </w:r>
      <w:r w:rsidRPr="009B525C">
        <w:rPr>
          <w:rFonts w:ascii="Times New Roman" w:hAnsi="Times New Roman" w:cs="Times New Roman"/>
          <w:bCs/>
          <w:iCs/>
        </w:rPr>
        <w:t>)</w:t>
      </w:r>
      <w:r>
        <w:rPr>
          <w:rFonts w:ascii="Times New Roman" w:hAnsi="Times New Roman" w:cs="Times New Roman"/>
          <w:bCs/>
          <w:iCs/>
        </w:rPr>
        <w:t xml:space="preserve"> </w:t>
      </w:r>
      <w:hyperlink r:id="rId6" w:history="1">
        <w:r>
          <w:rPr>
            <w:rFonts w:ascii="Times New Roman" w:eastAsia="Times New Roman" w:hAnsi="Times New Roman" w:cs="Times New Roman"/>
          </w:rPr>
          <w:t>(Sutton et al., 2001)</w:t>
        </w:r>
      </w:hyperlink>
      <w:r w:rsidRPr="009B525C">
        <w:rPr>
          <w:rFonts w:ascii="Times New Roman" w:hAnsi="Times New Roman" w:cs="Times New Roman"/>
          <w:bCs/>
          <w:iCs/>
        </w:rPr>
        <w:t xml:space="preserve"> samplers at multiple UK sites. The monthly concentration at each site is calculated as the average of the concentration measured by each sampler in the triplicate set.</w:t>
      </w:r>
    </w:p>
    <w:p w14:paraId="0EBAC2E4" w14:textId="77777777" w:rsidR="009B525C" w:rsidRPr="00AF58A1" w:rsidRDefault="009B525C" w:rsidP="008F7EF7">
      <w:pPr>
        <w:jc w:val="both"/>
        <w:rPr>
          <w:rFonts w:ascii="Times New Roman" w:hAnsi="Times New Roman" w:cs="Times New Roman"/>
          <w:b/>
          <w:i/>
        </w:rPr>
      </w:pPr>
      <w:r w:rsidRPr="00AF58A1">
        <w:rPr>
          <w:rFonts w:ascii="Times New Roman" w:hAnsi="Times New Roman" w:cs="Times New Roman"/>
          <w:b/>
          <w:i/>
        </w:rPr>
        <w:t>Quality Control</w:t>
      </w:r>
    </w:p>
    <w:p w14:paraId="29FC508C" w14:textId="77777777" w:rsidR="009B525C" w:rsidRDefault="009B525C" w:rsidP="008F7EF7">
      <w:pPr>
        <w:jc w:val="both"/>
        <w:rPr>
          <w:rFonts w:ascii="Times New Roman" w:hAnsi="Times New Roman" w:cs="Times New Roman"/>
        </w:rPr>
      </w:pPr>
      <w:r w:rsidRPr="009B525C">
        <w:rPr>
          <w:rFonts w:ascii="Times New Roman" w:hAnsi="Times New Roman" w:cs="Times New Roman"/>
        </w:rPr>
        <w:t>Obvious outliers are removed before calculating the average. Further quality assurance is performed based on comments from site operators regarding physical damage to the sampler, wet sampler, etc.</w:t>
      </w:r>
    </w:p>
    <w:p w14:paraId="18EB8C8A" w14:textId="77777777" w:rsidR="009B525C" w:rsidRDefault="009B525C">
      <w:pPr>
        <w:rPr>
          <w:rFonts w:ascii="Times New Roman" w:hAnsi="Times New Roman" w:cs="Times New Roman"/>
          <w:b/>
          <w:i/>
          <w:lang w:eastAsia="en-GB"/>
        </w:rPr>
      </w:pPr>
      <w:r>
        <w:rPr>
          <w:rFonts w:ascii="Times New Roman" w:hAnsi="Times New Roman" w:cs="Times New Roman"/>
          <w:b/>
          <w:i/>
          <w:lang w:eastAsia="en-GB"/>
        </w:rPr>
        <w:br w:type="page"/>
      </w:r>
    </w:p>
    <w:p w14:paraId="200958D9" w14:textId="77F1F907" w:rsidR="009B525C" w:rsidRPr="00AF58A1" w:rsidRDefault="009B525C" w:rsidP="00ED3180">
      <w:pPr>
        <w:rPr>
          <w:rFonts w:ascii="Times New Roman" w:hAnsi="Times New Roman" w:cs="Times New Roman"/>
          <w:b/>
          <w:i/>
          <w:lang w:eastAsia="en-GB"/>
        </w:rPr>
      </w:pPr>
      <w:r w:rsidRPr="00AF58A1">
        <w:rPr>
          <w:rFonts w:ascii="Times New Roman" w:hAnsi="Times New Roman" w:cs="Times New Roman"/>
          <w:b/>
          <w:i/>
          <w:lang w:eastAsia="en-GB"/>
        </w:rPr>
        <w:lastRenderedPageBreak/>
        <w:t>Data structure</w:t>
      </w:r>
    </w:p>
    <w:p w14:paraId="21A23122" w14:textId="77777777" w:rsidR="009B525C" w:rsidRPr="0087230B" w:rsidRDefault="009B525C" w:rsidP="008F7EF7">
      <w:pPr>
        <w:jc w:val="both"/>
        <w:rPr>
          <w:rFonts w:ascii="Times New Roman" w:hAnsi="Times New Roman" w:cs="Times New Roman"/>
          <w:lang w:eastAsia="en-GB"/>
        </w:rPr>
      </w:pPr>
      <w:r>
        <w:rPr>
          <w:rFonts w:ascii="Times New Roman" w:hAnsi="Times New Roman" w:cs="Times New Roman"/>
          <w:lang w:eastAsia="en-GB"/>
        </w:rPr>
        <w:t xml:space="preserve">The dataset contains 424 measurements of atmospheric ammonia concentration from 33 sites across South Asia. </w:t>
      </w:r>
      <w:r w:rsidRPr="0087230B">
        <w:rPr>
          <w:rFonts w:ascii="Times New Roman" w:hAnsi="Times New Roman" w:cs="Times New Roman"/>
          <w:lang w:eastAsia="en-GB"/>
        </w:rPr>
        <w:t xml:space="preserve">Data are provided in a </w:t>
      </w:r>
      <w:r>
        <w:rPr>
          <w:rFonts w:ascii="Times New Roman" w:hAnsi="Times New Roman" w:cs="Times New Roman"/>
          <w:lang w:eastAsia="en-GB"/>
        </w:rPr>
        <w:t>CSV</w:t>
      </w:r>
      <w:r w:rsidRPr="0087230B">
        <w:rPr>
          <w:rFonts w:ascii="Times New Roman" w:hAnsi="Times New Roman" w:cs="Times New Roman"/>
          <w:lang w:eastAsia="en-GB"/>
        </w:rPr>
        <w:t xml:space="preserve"> file with columns as below.</w:t>
      </w:r>
    </w:p>
    <w:tbl>
      <w:tblPr>
        <w:tblStyle w:val="TableGrid"/>
        <w:tblW w:w="0" w:type="auto"/>
        <w:tblLook w:val="04A0" w:firstRow="1" w:lastRow="0" w:firstColumn="1" w:lastColumn="0" w:noHBand="0" w:noVBand="1"/>
      </w:tblPr>
      <w:tblGrid>
        <w:gridCol w:w="1555"/>
        <w:gridCol w:w="1134"/>
        <w:gridCol w:w="6237"/>
      </w:tblGrid>
      <w:tr w:rsidR="009B525C" w:rsidRPr="0087230B" w14:paraId="3976C941" w14:textId="77777777" w:rsidTr="004B40F7">
        <w:trPr>
          <w:trHeight w:val="290"/>
        </w:trPr>
        <w:tc>
          <w:tcPr>
            <w:tcW w:w="1555" w:type="dxa"/>
            <w:noWrap/>
            <w:hideMark/>
          </w:tcPr>
          <w:p w14:paraId="6643B6F2" w14:textId="77777777" w:rsidR="009B525C" w:rsidRPr="0087230B" w:rsidRDefault="009B525C">
            <w:pPr>
              <w:rPr>
                <w:rFonts w:ascii="Times New Roman" w:hAnsi="Times New Roman" w:cs="Times New Roman"/>
                <w:b/>
              </w:rPr>
            </w:pPr>
            <w:r w:rsidRPr="0087230B">
              <w:rPr>
                <w:rFonts w:ascii="Times New Roman" w:hAnsi="Times New Roman" w:cs="Times New Roman"/>
                <w:b/>
              </w:rPr>
              <w:t>Parameter</w:t>
            </w:r>
          </w:p>
        </w:tc>
        <w:tc>
          <w:tcPr>
            <w:tcW w:w="1134" w:type="dxa"/>
            <w:noWrap/>
            <w:hideMark/>
          </w:tcPr>
          <w:p w14:paraId="4ECE5AB3" w14:textId="77777777" w:rsidR="009B525C" w:rsidRPr="0087230B" w:rsidRDefault="009B525C">
            <w:pPr>
              <w:rPr>
                <w:rFonts w:ascii="Times New Roman" w:hAnsi="Times New Roman" w:cs="Times New Roman"/>
                <w:b/>
              </w:rPr>
            </w:pPr>
            <w:r w:rsidRPr="0087230B">
              <w:rPr>
                <w:rFonts w:ascii="Times New Roman" w:hAnsi="Times New Roman" w:cs="Times New Roman"/>
                <w:b/>
              </w:rPr>
              <w:t>Unit</w:t>
            </w:r>
          </w:p>
        </w:tc>
        <w:tc>
          <w:tcPr>
            <w:tcW w:w="6237" w:type="dxa"/>
            <w:noWrap/>
            <w:hideMark/>
          </w:tcPr>
          <w:p w14:paraId="5D7A575F" w14:textId="77777777" w:rsidR="009B525C" w:rsidRPr="0087230B" w:rsidRDefault="009B525C">
            <w:pPr>
              <w:rPr>
                <w:rFonts w:ascii="Times New Roman" w:hAnsi="Times New Roman" w:cs="Times New Roman"/>
                <w:b/>
              </w:rPr>
            </w:pPr>
            <w:r w:rsidRPr="0087230B">
              <w:rPr>
                <w:rFonts w:ascii="Times New Roman" w:hAnsi="Times New Roman" w:cs="Times New Roman"/>
                <w:b/>
              </w:rPr>
              <w:t>Description</w:t>
            </w:r>
          </w:p>
        </w:tc>
      </w:tr>
      <w:tr w:rsidR="009B525C" w:rsidRPr="0087230B" w14:paraId="5642ADE2" w14:textId="77777777" w:rsidTr="004B40F7">
        <w:trPr>
          <w:trHeight w:val="290"/>
        </w:trPr>
        <w:tc>
          <w:tcPr>
            <w:tcW w:w="1555" w:type="dxa"/>
            <w:noWrap/>
            <w:vAlign w:val="center"/>
          </w:tcPr>
          <w:p w14:paraId="1D13921D" w14:textId="77777777" w:rsidR="009B525C" w:rsidRPr="0087230B" w:rsidRDefault="009B525C" w:rsidP="0087230B">
            <w:pPr>
              <w:rPr>
                <w:rFonts w:ascii="Times New Roman" w:hAnsi="Times New Roman" w:cs="Times New Roman"/>
              </w:rPr>
            </w:pPr>
            <w:r>
              <w:rPr>
                <w:rFonts w:ascii="Times New Roman" w:hAnsi="Times New Roman" w:cs="Times New Roman"/>
              </w:rPr>
              <w:t>Country</w:t>
            </w:r>
          </w:p>
        </w:tc>
        <w:tc>
          <w:tcPr>
            <w:tcW w:w="1134" w:type="dxa"/>
            <w:noWrap/>
            <w:vAlign w:val="center"/>
          </w:tcPr>
          <w:p w14:paraId="12D931AA" w14:textId="77777777" w:rsidR="009B525C" w:rsidRPr="0087230B" w:rsidRDefault="009B525C" w:rsidP="00884138">
            <w:pPr>
              <w:jc w:val="center"/>
              <w:rPr>
                <w:rFonts w:ascii="Times New Roman" w:hAnsi="Times New Roman" w:cs="Times New Roman"/>
              </w:rPr>
            </w:pPr>
            <w:r>
              <w:rPr>
                <w:rFonts w:ascii="Times New Roman" w:hAnsi="Times New Roman" w:cs="Times New Roman"/>
              </w:rPr>
              <w:t>-</w:t>
            </w:r>
          </w:p>
        </w:tc>
        <w:tc>
          <w:tcPr>
            <w:tcW w:w="6237" w:type="dxa"/>
            <w:noWrap/>
            <w:vAlign w:val="center"/>
          </w:tcPr>
          <w:p w14:paraId="3152F30B" w14:textId="77777777" w:rsidR="009B525C" w:rsidRPr="0087230B" w:rsidRDefault="009B525C" w:rsidP="00FB4270">
            <w:pPr>
              <w:rPr>
                <w:rFonts w:ascii="Times New Roman" w:hAnsi="Times New Roman" w:cs="Times New Roman"/>
              </w:rPr>
            </w:pPr>
            <w:r>
              <w:rPr>
                <w:rFonts w:ascii="Times New Roman" w:hAnsi="Times New Roman" w:cs="Times New Roman"/>
              </w:rPr>
              <w:t>Country in which the site is located.</w:t>
            </w:r>
          </w:p>
        </w:tc>
      </w:tr>
      <w:tr w:rsidR="009B525C" w:rsidRPr="0087230B" w14:paraId="2160979C" w14:textId="77777777" w:rsidTr="004B40F7">
        <w:trPr>
          <w:trHeight w:val="290"/>
        </w:trPr>
        <w:tc>
          <w:tcPr>
            <w:tcW w:w="1555" w:type="dxa"/>
            <w:noWrap/>
            <w:vAlign w:val="center"/>
            <w:hideMark/>
          </w:tcPr>
          <w:p w14:paraId="57159C7A" w14:textId="77777777" w:rsidR="009B525C" w:rsidRPr="0087230B" w:rsidRDefault="009B525C" w:rsidP="0087230B">
            <w:pPr>
              <w:rPr>
                <w:rFonts w:ascii="Times New Roman" w:hAnsi="Times New Roman" w:cs="Times New Roman"/>
              </w:rPr>
            </w:pPr>
            <w:r>
              <w:rPr>
                <w:rFonts w:ascii="Times New Roman" w:hAnsi="Times New Roman" w:cs="Times New Roman"/>
              </w:rPr>
              <w:t>Site</w:t>
            </w:r>
          </w:p>
        </w:tc>
        <w:tc>
          <w:tcPr>
            <w:tcW w:w="1134" w:type="dxa"/>
            <w:noWrap/>
            <w:vAlign w:val="center"/>
          </w:tcPr>
          <w:p w14:paraId="7320EB4E" w14:textId="77777777" w:rsidR="009B525C" w:rsidRPr="0087230B" w:rsidRDefault="009B525C" w:rsidP="0087230B">
            <w:pPr>
              <w:jc w:val="center"/>
              <w:rPr>
                <w:rFonts w:ascii="Times New Roman" w:hAnsi="Times New Roman" w:cs="Times New Roman"/>
              </w:rPr>
            </w:pPr>
            <w:r>
              <w:rPr>
                <w:rFonts w:ascii="Times New Roman" w:hAnsi="Times New Roman" w:cs="Times New Roman"/>
              </w:rPr>
              <w:t>-</w:t>
            </w:r>
          </w:p>
        </w:tc>
        <w:tc>
          <w:tcPr>
            <w:tcW w:w="6237" w:type="dxa"/>
            <w:noWrap/>
            <w:vAlign w:val="center"/>
            <w:hideMark/>
          </w:tcPr>
          <w:p w14:paraId="50EFFA42" w14:textId="77777777" w:rsidR="009B525C" w:rsidRPr="0087230B" w:rsidRDefault="009B525C" w:rsidP="00FB4270">
            <w:pPr>
              <w:rPr>
                <w:rFonts w:ascii="Times New Roman" w:hAnsi="Times New Roman" w:cs="Times New Roman"/>
              </w:rPr>
            </w:pPr>
            <w:r>
              <w:rPr>
                <w:rFonts w:ascii="Times New Roman" w:hAnsi="Times New Roman" w:cs="Times New Roman"/>
              </w:rPr>
              <w:t xml:space="preserve">Local name of the site. </w:t>
            </w:r>
          </w:p>
        </w:tc>
      </w:tr>
      <w:tr w:rsidR="009B525C" w:rsidRPr="0087230B" w14:paraId="65FE4DB3" w14:textId="77777777" w:rsidTr="004B40F7">
        <w:trPr>
          <w:trHeight w:val="290"/>
        </w:trPr>
        <w:tc>
          <w:tcPr>
            <w:tcW w:w="1555" w:type="dxa"/>
            <w:noWrap/>
            <w:vAlign w:val="center"/>
            <w:hideMark/>
          </w:tcPr>
          <w:p w14:paraId="11A50927" w14:textId="77777777" w:rsidR="009B525C" w:rsidRPr="0087230B" w:rsidRDefault="009B525C" w:rsidP="0087230B">
            <w:pPr>
              <w:rPr>
                <w:rFonts w:ascii="Times New Roman" w:hAnsi="Times New Roman" w:cs="Times New Roman"/>
              </w:rPr>
            </w:pPr>
            <w:r>
              <w:rPr>
                <w:rFonts w:ascii="Times New Roman" w:hAnsi="Times New Roman" w:cs="Times New Roman"/>
              </w:rPr>
              <w:t>Month</w:t>
            </w:r>
          </w:p>
        </w:tc>
        <w:tc>
          <w:tcPr>
            <w:tcW w:w="1134" w:type="dxa"/>
            <w:noWrap/>
            <w:vAlign w:val="center"/>
          </w:tcPr>
          <w:p w14:paraId="035CC99B" w14:textId="77777777" w:rsidR="009B525C" w:rsidRPr="0087230B" w:rsidRDefault="009B525C" w:rsidP="0087230B">
            <w:pPr>
              <w:jc w:val="center"/>
              <w:rPr>
                <w:rFonts w:ascii="Times New Roman" w:hAnsi="Times New Roman" w:cs="Times New Roman"/>
              </w:rPr>
            </w:pPr>
            <w:r>
              <w:rPr>
                <w:rFonts w:ascii="Times New Roman" w:hAnsi="Times New Roman" w:cs="Times New Roman"/>
              </w:rPr>
              <w:t>-</w:t>
            </w:r>
          </w:p>
        </w:tc>
        <w:tc>
          <w:tcPr>
            <w:tcW w:w="6237" w:type="dxa"/>
            <w:noWrap/>
            <w:vAlign w:val="center"/>
            <w:hideMark/>
          </w:tcPr>
          <w:p w14:paraId="19AEE7C6" w14:textId="77777777" w:rsidR="009B525C" w:rsidRPr="0087230B" w:rsidRDefault="009B525C" w:rsidP="00FB4270">
            <w:pPr>
              <w:rPr>
                <w:rFonts w:ascii="Times New Roman" w:hAnsi="Times New Roman" w:cs="Times New Roman"/>
              </w:rPr>
            </w:pPr>
            <w:r>
              <w:rPr>
                <w:rFonts w:ascii="Times New Roman" w:hAnsi="Times New Roman" w:cs="Times New Roman"/>
              </w:rPr>
              <w:t>Month over which the mean ammonia concentration was measured.</w:t>
            </w:r>
          </w:p>
        </w:tc>
      </w:tr>
      <w:tr w:rsidR="009B525C" w:rsidRPr="0087230B" w14:paraId="1983E9D8" w14:textId="77777777" w:rsidTr="004B40F7">
        <w:trPr>
          <w:trHeight w:val="290"/>
        </w:trPr>
        <w:tc>
          <w:tcPr>
            <w:tcW w:w="1555" w:type="dxa"/>
            <w:noWrap/>
            <w:vAlign w:val="center"/>
          </w:tcPr>
          <w:p w14:paraId="67F7C3C3" w14:textId="77777777" w:rsidR="009B525C" w:rsidRPr="0087230B" w:rsidRDefault="009B525C" w:rsidP="0087230B">
            <w:pPr>
              <w:rPr>
                <w:rFonts w:ascii="Times New Roman" w:hAnsi="Times New Roman" w:cs="Times New Roman"/>
              </w:rPr>
            </w:pPr>
            <w:r>
              <w:rPr>
                <w:rFonts w:ascii="Times New Roman" w:hAnsi="Times New Roman" w:cs="Times New Roman"/>
              </w:rPr>
              <w:t>Latitude</w:t>
            </w:r>
          </w:p>
        </w:tc>
        <w:tc>
          <w:tcPr>
            <w:tcW w:w="1134" w:type="dxa"/>
            <w:noWrap/>
            <w:vAlign w:val="center"/>
          </w:tcPr>
          <w:p w14:paraId="271DF3B9" w14:textId="77777777" w:rsidR="009B525C" w:rsidRPr="0087230B" w:rsidRDefault="009B525C" w:rsidP="0087230B">
            <w:pPr>
              <w:jc w:val="center"/>
              <w:rPr>
                <w:rFonts w:ascii="Times New Roman" w:hAnsi="Times New Roman" w:cs="Times New Roman"/>
              </w:rPr>
            </w:pPr>
            <w:r>
              <w:rPr>
                <w:rFonts w:ascii="Times New Roman" w:hAnsi="Times New Roman" w:cs="Times New Roman"/>
              </w:rPr>
              <w:t>Decimal degrees</w:t>
            </w:r>
          </w:p>
        </w:tc>
        <w:tc>
          <w:tcPr>
            <w:tcW w:w="6237" w:type="dxa"/>
            <w:noWrap/>
            <w:vAlign w:val="center"/>
          </w:tcPr>
          <w:p w14:paraId="431BB88E" w14:textId="77777777" w:rsidR="009B525C" w:rsidRPr="0087230B" w:rsidRDefault="009B525C" w:rsidP="00FB4270">
            <w:pPr>
              <w:rPr>
                <w:rFonts w:ascii="Times New Roman" w:hAnsi="Times New Roman" w:cs="Times New Roman"/>
              </w:rPr>
            </w:pPr>
            <w:r>
              <w:rPr>
                <w:rFonts w:ascii="Times New Roman" w:hAnsi="Times New Roman" w:cs="Times New Roman"/>
              </w:rPr>
              <w:t>Latitudinal coordinates of the site.</w:t>
            </w:r>
          </w:p>
        </w:tc>
      </w:tr>
      <w:tr w:rsidR="009B525C" w:rsidRPr="0087230B" w14:paraId="47E1AEE1" w14:textId="77777777" w:rsidTr="004B40F7">
        <w:trPr>
          <w:trHeight w:val="290"/>
        </w:trPr>
        <w:tc>
          <w:tcPr>
            <w:tcW w:w="1555" w:type="dxa"/>
            <w:noWrap/>
            <w:vAlign w:val="center"/>
          </w:tcPr>
          <w:p w14:paraId="74AEB72B" w14:textId="77777777" w:rsidR="009B525C" w:rsidRPr="0087230B" w:rsidRDefault="009B525C" w:rsidP="0087230B">
            <w:pPr>
              <w:rPr>
                <w:rFonts w:ascii="Times New Roman" w:hAnsi="Times New Roman" w:cs="Times New Roman"/>
              </w:rPr>
            </w:pPr>
            <w:r>
              <w:rPr>
                <w:rFonts w:ascii="Times New Roman" w:hAnsi="Times New Roman" w:cs="Times New Roman"/>
              </w:rPr>
              <w:t>Longitude</w:t>
            </w:r>
          </w:p>
        </w:tc>
        <w:tc>
          <w:tcPr>
            <w:tcW w:w="1134" w:type="dxa"/>
            <w:noWrap/>
            <w:vAlign w:val="center"/>
          </w:tcPr>
          <w:p w14:paraId="6DB5D332" w14:textId="77777777" w:rsidR="009B525C" w:rsidRPr="0087230B" w:rsidRDefault="009B525C" w:rsidP="0087230B">
            <w:pPr>
              <w:jc w:val="center"/>
              <w:rPr>
                <w:rFonts w:ascii="Times New Roman" w:hAnsi="Times New Roman" w:cs="Times New Roman"/>
              </w:rPr>
            </w:pPr>
            <w:r>
              <w:rPr>
                <w:rFonts w:ascii="Times New Roman" w:hAnsi="Times New Roman" w:cs="Times New Roman"/>
              </w:rPr>
              <w:t>Decimal degrees</w:t>
            </w:r>
          </w:p>
        </w:tc>
        <w:tc>
          <w:tcPr>
            <w:tcW w:w="6237" w:type="dxa"/>
            <w:noWrap/>
            <w:vAlign w:val="center"/>
          </w:tcPr>
          <w:p w14:paraId="737418A0" w14:textId="77777777" w:rsidR="009B525C" w:rsidRPr="0087230B" w:rsidRDefault="009B525C" w:rsidP="00FB4270">
            <w:pPr>
              <w:rPr>
                <w:rFonts w:ascii="Times New Roman" w:hAnsi="Times New Roman" w:cs="Times New Roman"/>
              </w:rPr>
            </w:pPr>
            <w:r>
              <w:rPr>
                <w:rFonts w:ascii="Times New Roman" w:hAnsi="Times New Roman" w:cs="Times New Roman"/>
              </w:rPr>
              <w:t>Longitudinal coordinates of the site.</w:t>
            </w:r>
          </w:p>
        </w:tc>
      </w:tr>
      <w:tr w:rsidR="009B525C" w:rsidRPr="0087230B" w14:paraId="453C4E81" w14:textId="77777777" w:rsidTr="004B40F7">
        <w:trPr>
          <w:trHeight w:val="290"/>
        </w:trPr>
        <w:tc>
          <w:tcPr>
            <w:tcW w:w="1555" w:type="dxa"/>
            <w:noWrap/>
            <w:vAlign w:val="center"/>
          </w:tcPr>
          <w:p w14:paraId="37FED836" w14:textId="77777777" w:rsidR="009B525C" w:rsidRPr="0087230B" w:rsidRDefault="009B525C" w:rsidP="0087230B">
            <w:pPr>
              <w:rPr>
                <w:rFonts w:ascii="Times New Roman" w:hAnsi="Times New Roman" w:cs="Times New Roman"/>
              </w:rPr>
            </w:pPr>
            <w:r>
              <w:rPr>
                <w:rFonts w:ascii="Times New Roman" w:hAnsi="Times New Roman" w:cs="Times New Roman"/>
              </w:rPr>
              <w:t>Elevation</w:t>
            </w:r>
          </w:p>
        </w:tc>
        <w:tc>
          <w:tcPr>
            <w:tcW w:w="1134" w:type="dxa"/>
            <w:noWrap/>
            <w:vAlign w:val="center"/>
          </w:tcPr>
          <w:p w14:paraId="46B96DBA" w14:textId="77777777" w:rsidR="009B525C" w:rsidRPr="0087230B" w:rsidRDefault="009B525C" w:rsidP="0087230B">
            <w:pPr>
              <w:jc w:val="center"/>
              <w:rPr>
                <w:rFonts w:ascii="Times New Roman" w:hAnsi="Times New Roman" w:cs="Times New Roman"/>
              </w:rPr>
            </w:pPr>
            <w:r>
              <w:rPr>
                <w:rFonts w:ascii="Times New Roman" w:hAnsi="Times New Roman" w:cs="Times New Roman"/>
              </w:rPr>
              <w:t>m</w:t>
            </w:r>
          </w:p>
        </w:tc>
        <w:tc>
          <w:tcPr>
            <w:tcW w:w="6237" w:type="dxa"/>
            <w:noWrap/>
            <w:vAlign w:val="center"/>
          </w:tcPr>
          <w:p w14:paraId="52B357CE" w14:textId="77777777" w:rsidR="009B525C" w:rsidRPr="0087230B" w:rsidRDefault="009B525C" w:rsidP="00FB4270">
            <w:pPr>
              <w:rPr>
                <w:rFonts w:ascii="Times New Roman" w:hAnsi="Times New Roman" w:cs="Times New Roman"/>
              </w:rPr>
            </w:pPr>
            <w:r>
              <w:rPr>
                <w:rFonts w:ascii="Times New Roman" w:hAnsi="Times New Roman" w:cs="Times New Roman"/>
              </w:rPr>
              <w:t>Elevation above mean sea level.</w:t>
            </w:r>
          </w:p>
        </w:tc>
      </w:tr>
      <w:tr w:rsidR="009B525C" w:rsidRPr="0087230B" w14:paraId="27052D7A" w14:textId="77777777" w:rsidTr="004B40F7">
        <w:trPr>
          <w:trHeight w:val="290"/>
        </w:trPr>
        <w:tc>
          <w:tcPr>
            <w:tcW w:w="1555" w:type="dxa"/>
            <w:noWrap/>
            <w:vAlign w:val="center"/>
          </w:tcPr>
          <w:p w14:paraId="359C8E72" w14:textId="77777777" w:rsidR="009B525C" w:rsidRPr="0087230B" w:rsidRDefault="009B525C" w:rsidP="0087230B">
            <w:pPr>
              <w:rPr>
                <w:rFonts w:ascii="Times New Roman" w:hAnsi="Times New Roman" w:cs="Times New Roman"/>
              </w:rPr>
            </w:pPr>
            <w:r>
              <w:rPr>
                <w:rFonts w:ascii="Times New Roman" w:hAnsi="Times New Roman" w:cs="Times New Roman"/>
              </w:rPr>
              <w:t>NH</w:t>
            </w:r>
            <w:r w:rsidRPr="004B40F7">
              <w:rPr>
                <w:rFonts w:ascii="Times New Roman" w:hAnsi="Times New Roman" w:cs="Times New Roman"/>
                <w:vertAlign w:val="subscript"/>
              </w:rPr>
              <w:t>3</w:t>
            </w:r>
          </w:p>
        </w:tc>
        <w:tc>
          <w:tcPr>
            <w:tcW w:w="1134" w:type="dxa"/>
            <w:noWrap/>
            <w:vAlign w:val="center"/>
          </w:tcPr>
          <w:p w14:paraId="52116E40" w14:textId="77777777" w:rsidR="009B525C" w:rsidRPr="0087230B" w:rsidRDefault="009B525C" w:rsidP="0087230B">
            <w:pPr>
              <w:jc w:val="center"/>
              <w:rPr>
                <w:rFonts w:ascii="Times New Roman" w:hAnsi="Times New Roman" w:cs="Times New Roman"/>
              </w:rPr>
            </w:pPr>
            <w:r w:rsidRPr="009B525C">
              <w:rPr>
                <w:rFonts w:ascii="Times New Roman" w:hAnsi="Times New Roman" w:cs="Times New Roman"/>
              </w:rPr>
              <w:t>µ</w:t>
            </w:r>
            <w:r>
              <w:rPr>
                <w:rFonts w:ascii="Times New Roman" w:hAnsi="Times New Roman" w:cs="Times New Roman"/>
              </w:rPr>
              <w:t>g m</w:t>
            </w:r>
            <w:r w:rsidRPr="004B40F7">
              <w:rPr>
                <w:rFonts w:ascii="Times New Roman" w:hAnsi="Times New Roman" w:cs="Times New Roman"/>
                <w:vertAlign w:val="superscript"/>
              </w:rPr>
              <w:t>-3</w:t>
            </w:r>
          </w:p>
        </w:tc>
        <w:tc>
          <w:tcPr>
            <w:tcW w:w="6237" w:type="dxa"/>
            <w:noWrap/>
            <w:vAlign w:val="center"/>
          </w:tcPr>
          <w:p w14:paraId="01BF67FE" w14:textId="77777777" w:rsidR="009B525C" w:rsidRPr="0087230B" w:rsidRDefault="009B525C" w:rsidP="00FB4270">
            <w:pPr>
              <w:rPr>
                <w:rFonts w:ascii="Times New Roman" w:hAnsi="Times New Roman" w:cs="Times New Roman"/>
              </w:rPr>
            </w:pPr>
            <w:r>
              <w:rPr>
                <w:rFonts w:ascii="Times New Roman" w:hAnsi="Times New Roman" w:cs="Times New Roman"/>
              </w:rPr>
              <w:t xml:space="preserve">Mean ammonia concentration measured using </w:t>
            </w:r>
            <w:r w:rsidRPr="004B40F7">
              <w:rPr>
                <w:rFonts w:ascii="Times New Roman" w:hAnsi="Times New Roman" w:cs="Times New Roman"/>
              </w:rPr>
              <w:t>UKCEH ALPHA</w:t>
            </w:r>
            <w:r w:rsidRPr="004B40F7">
              <w:rPr>
                <w:rFonts w:ascii="Times New Roman" w:hAnsi="Times New Roman" w:cs="Times New Roman"/>
                <w:vertAlign w:val="superscript"/>
              </w:rPr>
              <w:t>®</w:t>
            </w:r>
            <w:r w:rsidRPr="004B40F7">
              <w:rPr>
                <w:rFonts w:ascii="Times New Roman" w:hAnsi="Times New Roman" w:cs="Times New Roman"/>
              </w:rPr>
              <w:t xml:space="preserve"> samplers</w:t>
            </w:r>
            <w:r>
              <w:rPr>
                <w:rFonts w:ascii="Times New Roman" w:hAnsi="Times New Roman" w:cs="Times New Roman"/>
              </w:rPr>
              <w:t xml:space="preserve"> exposed over a month</w:t>
            </w:r>
            <w:r w:rsidRPr="004B40F7">
              <w:rPr>
                <w:rFonts w:ascii="Times New Roman" w:hAnsi="Times New Roman" w:cs="Times New Roman"/>
              </w:rPr>
              <w:t>.</w:t>
            </w:r>
          </w:p>
        </w:tc>
      </w:tr>
    </w:tbl>
    <w:p w14:paraId="0CAE6FA0" w14:textId="77777777" w:rsidR="009B525C" w:rsidRDefault="009B525C" w:rsidP="00ED3180">
      <w:pPr>
        <w:rPr>
          <w:rFonts w:ascii="Times New Roman" w:hAnsi="Times New Roman" w:cs="Times New Roman"/>
        </w:rPr>
      </w:pPr>
    </w:p>
    <w:p w14:paraId="1AFD107D" w14:textId="77777777" w:rsidR="009B525C" w:rsidRPr="00AF58A1" w:rsidRDefault="009B525C" w:rsidP="0048653E">
      <w:pPr>
        <w:rPr>
          <w:rFonts w:ascii="Times New Roman" w:hAnsi="Times New Roman" w:cs="Times New Roman"/>
          <w:b/>
          <w:i/>
        </w:rPr>
      </w:pPr>
      <w:r w:rsidRPr="00AF58A1">
        <w:rPr>
          <w:rFonts w:ascii="Times New Roman" w:hAnsi="Times New Roman" w:cs="Times New Roman"/>
          <w:b/>
          <w:i/>
        </w:rPr>
        <w:t>Funding source</w:t>
      </w:r>
    </w:p>
    <w:p w14:paraId="796E4A32" w14:textId="77777777" w:rsidR="009B525C" w:rsidRDefault="009B525C" w:rsidP="008F7EF7">
      <w:pPr>
        <w:jc w:val="both"/>
        <w:rPr>
          <w:rFonts w:ascii="Times New Roman" w:hAnsi="Times New Roman" w:cs="Times New Roman"/>
        </w:rPr>
      </w:pPr>
      <w:r>
        <w:rPr>
          <w:rFonts w:ascii="Times New Roman" w:hAnsi="Times New Roman" w:cs="Times New Roman"/>
        </w:rPr>
        <w:t>The funding for establishing this facility was provided by the UKRI GCRF South Asian Nitrogen Hub (</w:t>
      </w:r>
      <w:r w:rsidRPr="004B40F7">
        <w:rPr>
          <w:rFonts w:ascii="Times New Roman" w:hAnsi="Times New Roman" w:cs="Times New Roman"/>
        </w:rPr>
        <w:t>NE/S009019/1)</w:t>
      </w:r>
      <w:r>
        <w:rPr>
          <w:rFonts w:ascii="Times New Roman" w:hAnsi="Times New Roman" w:cs="Times New Roman"/>
        </w:rPr>
        <w:t xml:space="preserve">. </w:t>
      </w:r>
    </w:p>
    <w:p w14:paraId="1721689C" w14:textId="77777777" w:rsidR="009B525C" w:rsidRPr="009C7BC0" w:rsidRDefault="009B525C" w:rsidP="009217C8">
      <w:pPr>
        <w:jc w:val="both"/>
        <w:rPr>
          <w:rFonts w:ascii="Times New Roman" w:hAnsi="Times New Roman" w:cs="Times New Roman"/>
          <w:b/>
          <w:i/>
          <w:lang w:eastAsia="en-GB"/>
        </w:rPr>
      </w:pPr>
      <w:r w:rsidRPr="009C7BC0">
        <w:rPr>
          <w:rFonts w:ascii="Times New Roman" w:hAnsi="Times New Roman" w:cs="Times New Roman"/>
          <w:b/>
          <w:i/>
          <w:lang w:eastAsia="en-GB"/>
        </w:rPr>
        <w:t>References</w:t>
      </w:r>
    </w:p>
    <w:p w14:paraId="6DA1771C" w14:textId="118ECB59" w:rsidR="009B525C" w:rsidRPr="009B525C" w:rsidRDefault="008F7EF7" w:rsidP="009B525C">
      <w:pPr>
        <w:divId w:val="773134785"/>
        <w:rPr>
          <w:rFonts w:ascii="Times New Roman" w:eastAsiaTheme="minorEastAsia" w:hAnsi="Times New Roman" w:cs="Times New Roman"/>
          <w:color w:val="000000"/>
        </w:rPr>
      </w:pPr>
      <w:hyperlink r:id="rId7" w:history="1">
        <w:r w:rsidR="009B525C" w:rsidRPr="009B525C">
          <w:rPr>
            <w:rStyle w:val="csl-entry"/>
            <w:rFonts w:ascii="Times New Roman" w:hAnsi="Times New Roman" w:cs="Times New Roman"/>
            <w:color w:val="000000"/>
          </w:rPr>
          <w:t>Ellis, C.J., Steadman, C.E., Vieno, M., Chatterjee, S., Jones, M.R., Negi, S., Pandey, B.P., Rai, H., Tshering, D., Weerakoon, G., Wolseley, P., Reay, D., Sharma, S., Sutton, M., 2022. Estimating nitrogen risk to Himalayan forests using thresholds for lichen bioindicators. Biol. Conserv 265, 109401. https://doi.org/10.1016/j.biocon.2021.109401.</w:t>
        </w:r>
      </w:hyperlink>
    </w:p>
    <w:p w14:paraId="666364E8" w14:textId="77777777" w:rsidR="009B525C" w:rsidRPr="009B525C" w:rsidRDefault="008F7EF7" w:rsidP="008F7EF7">
      <w:pPr>
        <w:pStyle w:val="NormalWeb"/>
        <w:spacing w:line="220" w:lineRule="auto"/>
        <w:divId w:val="773134785"/>
        <w:rPr>
          <w:color w:val="000000"/>
          <w:sz w:val="22"/>
        </w:rPr>
      </w:pPr>
      <w:hyperlink r:id="rId8" w:history="1">
        <w:r w:rsidR="009B525C" w:rsidRPr="009B525C">
          <w:rPr>
            <w:rStyle w:val="csl-entry"/>
            <w:color w:val="000000"/>
            <w:sz w:val="22"/>
          </w:rPr>
          <w:t>Sutton, M.A., Tang, Y.S., Miners, B., Fowler, D., 2001. A new diffusion denuder system for long-term, regional monitoring of atmospheric ammonia and ammonium. Water Air and Soil Pollution: Focus 1, 145–156.</w:t>
        </w:r>
      </w:hyperlink>
    </w:p>
    <w:p w14:paraId="77B6F9AB" w14:textId="0E22FC50" w:rsidR="009B525C" w:rsidRPr="0087230B" w:rsidRDefault="008F7EF7" w:rsidP="008F7EF7">
      <w:pPr>
        <w:spacing w:afterLines="100" w:after="240" w:line="220" w:lineRule="auto"/>
        <w:rPr>
          <w:rFonts w:ascii="Times New Roman" w:hAnsi="Times New Roman" w:cs="Times New Roman"/>
        </w:rPr>
      </w:pPr>
      <w:hyperlink r:id="rId9" w:history="1">
        <w:r w:rsidR="009B525C" w:rsidRPr="009B525C">
          <w:rPr>
            <w:rStyle w:val="csl-entry"/>
            <w:rFonts w:ascii="Times New Roman" w:hAnsi="Times New Roman" w:cs="Times New Roman"/>
            <w:color w:val="000000"/>
          </w:rPr>
          <w:t>Tang, Y.S., Cape, J.N., Sutton, M.A., 2001. Development and types of passive samplers for monitoring atmospheric NO2 and NH3 concentrations. ScientificWorldJournal 1, 513–529. https://doi.org/10.1100/tsw.2001.82.</w:t>
        </w:r>
      </w:hyperlink>
      <w:r w:rsidR="009B525C" w:rsidRPr="009B525C">
        <w:rPr>
          <w:rFonts w:ascii="Times New Roman" w:hAnsi="Times New Roman" w:cs="Times New Roman"/>
          <w:color w:val="000000"/>
        </w:rPr>
        <w:t xml:space="preserve"> </w:t>
      </w:r>
    </w:p>
    <w:sectPr w:rsidR="009B525C" w:rsidRPr="008723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E77"/>
    <w:rsid w:val="00294D51"/>
    <w:rsid w:val="00436FD7"/>
    <w:rsid w:val="0048653E"/>
    <w:rsid w:val="004B40F7"/>
    <w:rsid w:val="004B7F08"/>
    <w:rsid w:val="00696E77"/>
    <w:rsid w:val="006A0222"/>
    <w:rsid w:val="008546BF"/>
    <w:rsid w:val="0087230B"/>
    <w:rsid w:val="00884138"/>
    <w:rsid w:val="008B3CB4"/>
    <w:rsid w:val="008F7EF7"/>
    <w:rsid w:val="009217C8"/>
    <w:rsid w:val="009358A2"/>
    <w:rsid w:val="009B525C"/>
    <w:rsid w:val="00A87ED6"/>
    <w:rsid w:val="00AF58A1"/>
    <w:rsid w:val="00C442FE"/>
    <w:rsid w:val="00C57CB7"/>
    <w:rsid w:val="00C909B7"/>
    <w:rsid w:val="00C943DD"/>
    <w:rsid w:val="00ED3180"/>
    <w:rsid w:val="00FB4270"/>
    <w:rsid w:val="00FD19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C081"/>
  <w15:chartTrackingRefBased/>
  <w15:docId w15:val="{F6017D47-C1DB-4DA0-80F8-236746F75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NoteBibliography">
    <w:name w:val="EndNote Bibliography"/>
    <w:basedOn w:val="Normal"/>
    <w:link w:val="EndNoteBibliographyChar"/>
    <w:rsid w:val="00436FD7"/>
    <w:pPr>
      <w:spacing w:line="240" w:lineRule="auto"/>
    </w:pPr>
    <w:rPr>
      <w:rFonts w:ascii="Times New Roman" w:hAnsi="Times New Roman" w:cs="Calibri"/>
      <w:noProof/>
      <w:lang w:val="en-US"/>
    </w:rPr>
  </w:style>
  <w:style w:type="character" w:customStyle="1" w:styleId="EndNoteBibliographyChar">
    <w:name w:val="EndNote Bibliography Char"/>
    <w:basedOn w:val="DefaultParagraphFont"/>
    <w:link w:val="EndNoteBibliography"/>
    <w:rsid w:val="00436FD7"/>
    <w:rPr>
      <w:rFonts w:ascii="Times New Roman" w:hAnsi="Times New Roman" w:cs="Calibri"/>
      <w:noProof/>
      <w:lang w:val="en-US"/>
    </w:rPr>
  </w:style>
  <w:style w:type="table" w:styleId="TableGrid">
    <w:name w:val="Table Grid"/>
    <w:basedOn w:val="TableNormal"/>
    <w:uiPriority w:val="39"/>
    <w:rsid w:val="00ED3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9358A2"/>
    <w:rPr>
      <w:color w:val="0000FF"/>
      <w:u w:val="single"/>
    </w:rPr>
  </w:style>
  <w:style w:type="character" w:customStyle="1" w:styleId="csl-left-margin">
    <w:name w:val="csl-left-margin"/>
    <w:basedOn w:val="DefaultParagraphFont"/>
    <w:rsid w:val="009B525C"/>
  </w:style>
  <w:style w:type="character" w:customStyle="1" w:styleId="csl-right-inline">
    <w:name w:val="csl-right-inline"/>
    <w:basedOn w:val="DefaultParagraphFont"/>
    <w:rsid w:val="009B525C"/>
  </w:style>
  <w:style w:type="character" w:customStyle="1" w:styleId="csl-entry">
    <w:name w:val="csl-entry"/>
    <w:basedOn w:val="DefaultParagraphFont"/>
    <w:rsid w:val="009B525C"/>
  </w:style>
  <w:style w:type="paragraph" w:styleId="NormalWeb">
    <w:name w:val="Normal (Web)"/>
    <w:basedOn w:val="Normal"/>
    <w:uiPriority w:val="99"/>
    <w:semiHidden/>
    <w:unhideWhenUsed/>
    <w:rsid w:val="009B525C"/>
    <w:pPr>
      <w:spacing w:before="100" w:beforeAutospacing="1" w:after="100" w:afterAutospacing="1" w:line="240" w:lineRule="auto"/>
    </w:pPr>
    <w:rPr>
      <w:rFonts w:ascii="Times New Roman" w:eastAsiaTheme="minorEastAsia"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134785">
      <w:bodyDiv w:val="1"/>
      <w:marLeft w:val="0"/>
      <w:marRight w:val="0"/>
      <w:marTop w:val="0"/>
      <w:marBottom w:val="0"/>
      <w:divBdr>
        <w:top w:val="none" w:sz="0" w:space="0" w:color="auto"/>
        <w:left w:val="none" w:sz="0" w:space="0" w:color="auto"/>
        <w:bottom w:val="none" w:sz="0" w:space="0" w:color="auto"/>
        <w:right w:val="none" w:sz="0" w:space="0" w:color="auto"/>
      </w:divBdr>
    </w:div>
    <w:div w:id="817038918">
      <w:bodyDiv w:val="1"/>
      <w:marLeft w:val="0"/>
      <w:marRight w:val="0"/>
      <w:marTop w:val="0"/>
      <w:marBottom w:val="0"/>
      <w:divBdr>
        <w:top w:val="none" w:sz="0" w:space="0" w:color="auto"/>
        <w:left w:val="none" w:sz="0" w:space="0" w:color="auto"/>
        <w:bottom w:val="none" w:sz="0" w:space="0" w:color="auto"/>
        <w:right w:val="none" w:sz="0" w:space="0" w:color="auto"/>
      </w:divBdr>
    </w:div>
    <w:div w:id="837307469">
      <w:bodyDiv w:val="1"/>
      <w:marLeft w:val="0"/>
      <w:marRight w:val="0"/>
      <w:marTop w:val="0"/>
      <w:marBottom w:val="0"/>
      <w:divBdr>
        <w:top w:val="none" w:sz="0" w:space="0" w:color="auto"/>
        <w:left w:val="none" w:sz="0" w:space="0" w:color="auto"/>
        <w:bottom w:val="none" w:sz="0" w:space="0" w:color="auto"/>
        <w:right w:val="none" w:sz="0" w:space="0" w:color="auto"/>
      </w:divBdr>
    </w:div>
    <w:div w:id="977998005">
      <w:bodyDiv w:val="1"/>
      <w:marLeft w:val="0"/>
      <w:marRight w:val="0"/>
      <w:marTop w:val="0"/>
      <w:marBottom w:val="0"/>
      <w:divBdr>
        <w:top w:val="none" w:sz="0" w:space="0" w:color="auto"/>
        <w:left w:val="none" w:sz="0" w:space="0" w:color="auto"/>
        <w:bottom w:val="none" w:sz="0" w:space="0" w:color="auto"/>
        <w:right w:val="none" w:sz="0" w:space="0" w:color="auto"/>
      </w:divBdr>
    </w:div>
    <w:div w:id="1075979041">
      <w:bodyDiv w:val="1"/>
      <w:marLeft w:val="0"/>
      <w:marRight w:val="0"/>
      <w:marTop w:val="0"/>
      <w:marBottom w:val="0"/>
      <w:divBdr>
        <w:top w:val="none" w:sz="0" w:space="0" w:color="auto"/>
        <w:left w:val="none" w:sz="0" w:space="0" w:color="auto"/>
        <w:bottom w:val="none" w:sz="0" w:space="0" w:color="auto"/>
        <w:right w:val="none" w:sz="0" w:space="0" w:color="auto"/>
      </w:divBdr>
    </w:div>
    <w:div w:id="1909263015">
      <w:bodyDiv w:val="1"/>
      <w:marLeft w:val="0"/>
      <w:marRight w:val="0"/>
      <w:marTop w:val="0"/>
      <w:marBottom w:val="0"/>
      <w:divBdr>
        <w:top w:val="none" w:sz="0" w:space="0" w:color="auto"/>
        <w:left w:val="none" w:sz="0" w:space="0" w:color="auto"/>
        <w:bottom w:val="none" w:sz="0" w:space="0" w:color="auto"/>
        <w:right w:val="none" w:sz="0" w:space="0" w:color="auto"/>
      </w:divBdr>
    </w:div>
    <w:div w:id="1990478690">
      <w:bodyDiv w:val="1"/>
      <w:marLeft w:val="0"/>
      <w:marRight w:val="0"/>
      <w:marTop w:val="0"/>
      <w:marBottom w:val="0"/>
      <w:divBdr>
        <w:top w:val="none" w:sz="0" w:space="0" w:color="auto"/>
        <w:left w:val="none" w:sz="0" w:space="0" w:color="auto"/>
        <w:bottom w:val="none" w:sz="0" w:space="0" w:color="auto"/>
        <w:right w:val="none" w:sz="0" w:space="0" w:color="auto"/>
      </w:divBdr>
    </w:div>
    <w:div w:id="209782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wheel.com/work/bibliography/14553679" TargetMode="External"/><Relationship Id="rId3" Type="http://schemas.openxmlformats.org/officeDocument/2006/relationships/webSettings" Target="webSettings.xml"/><Relationship Id="rId7" Type="http://schemas.openxmlformats.org/officeDocument/2006/relationships/hyperlink" Target="https://sciwheel.com/work/bibliography/1318133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ciwheel.com/work/citation?ids=14553679&amp;pre=&amp;suf=&amp;sa=0&amp;dbf=0" TargetMode="External"/><Relationship Id="rId11" Type="http://schemas.openxmlformats.org/officeDocument/2006/relationships/theme" Target="theme/theme1.xml"/><Relationship Id="rId5" Type="http://schemas.openxmlformats.org/officeDocument/2006/relationships/hyperlink" Target="https://sciwheel.com/work/citation?ids=5538877&amp;pre=&amp;suf=&amp;sa=0&amp;dbf=0" TargetMode="External"/><Relationship Id="rId10" Type="http://schemas.openxmlformats.org/officeDocument/2006/relationships/fontTable" Target="fontTable.xml"/><Relationship Id="rId4" Type="http://schemas.openxmlformats.org/officeDocument/2006/relationships/hyperlink" Target="https://sciwheel.com/work/citation?ids=13181336&amp;pre=&amp;suf=&amp;sa=0&amp;dbf=0" TargetMode="External"/><Relationship Id="rId9" Type="http://schemas.openxmlformats.org/officeDocument/2006/relationships/hyperlink" Target="https://sciwheel.com/work/bibliography/55388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07834F-BB6A-4D27-9FAC-E98D2CC37C30}">
  <we:reference id="wa200002534" version="6.0.0.0" store="en-001" storeType="OMEX"/>
  <we:alternateReferences>
    <we:reference id="wa200002534" version="6.0.0.0" store="" storeType="OMEX"/>
  </we:alternateReferences>
  <we:properties>
    <we:property name="sciwheel-csl-items" value="[{&quot;title&quot;:&quot;Estimating nitrogen risk to Himalayan forests using thresholds for lichen bioindicators&quot;,&quot;page&quot;:&quot;109401&quot;,&quot;volume&quot;:&quot;265&quot;,&quot;journalAbbreviation&quot;:&quot;Biol. Conserv&quot;,&quot;id&quot;:&quot;13181336&quot;,&quot;type&quot;:&quot;article-journal&quot;,&quot;container-title&quot;:&quot;Biological Conservation&quot;,&quot;container-title-short&quot;:&quot;Biol. Conserv&quot;,&quot;abstract&quot;:&quot;Himalayan forests are biodiverse and support the cultural and economic livelihoods of their human communities. They are bounded to the south by the Indo-Gangetic Plain, which has among the highest concentrations of atmospheric ammonia globally. This source of excess nitrogen pushes northwards into the Himalaya, generating concern that Himalayan forests will be impacted. To estimate the extent to which atmospheric nitrogen is impacting Himalayan forests we focussed on lichen epiphytes, which are a well-established bioindicator for atmospheric nitrogen pollution. First, we reviewed published literature describing nitrogen thresholds (critical levels and loads) at which lichen epiphytes are affected, identifying a mean and confidence intervals based on previous research conducted across a diverse set of biogeographic and ecological settings. Second, we used estimates from previously published atmospheric chemistry models (EMEP-WRF and UKCA-CLASSIC) projected to the Himalaya with contrasting spatial resolution and timescales to characterise model variability. Comparing the lichen epiphyte critical levels and loads with the atmospheric chemistry model projections, we created preliminary estimates of the extent to which Himalayan forests are impacted by excess nitrogen; this equated to c. 80–85% and c. 95–98% with respect to ammonia and total nitrogen deposition, respectively. Recognising that lichens are one of the most sensitive bioindicators for atmospheric nitrogen pollution, our new synthesis of previous studies on this topic generated concern that most Himalayan forests are at risk from excess nitrogen. This is a desk-based study that now requires verification through biological surveillance, for which we provide key recommendations.&quot;,&quot;author&quot;:[{&quot;family&quot;:&quot;Ellis&quot;,&quot;given&quot;:&quot;Christopher J.&quot;},{&quot;family&quot;:&quot;Steadman&quot;,&quot;given&quot;:&quot;Claudia E.&quot;},{&quot;family&quot;:&quot;Vieno&quot;,&quot;given&quot;:&quot;Massimo&quot;},{&quot;family&quot;:&quot;Chatterjee&quot;,&quot;given&quot;:&quot;Sudipto&quot;},{&quot;family&quot;:&quot;Jones&quot;,&quot;given&quot;:&quot;Matthew R.&quot;},{&quot;family&quot;:&quot;Negi&quot;,&quot;given&quot;:&quot;Sidharth&quot;},{&quot;family&quot;:&quot;Pandey&quot;,&quot;given&quot;:&quot;Bishnu Prasad&quot;},{&quot;family&quot;:&quot;Rai&quot;,&quot;given&quot;:&quot;Himanshu&quot;},{&quot;family&quot;:&quot;Tshering&quot;,&quot;given&quot;:&quot;Dendup&quot;},{&quot;family&quot;:&quot;Weerakoon&quot;,&quot;given&quot;:&quot;Gothamie&quot;},{&quot;family&quot;:&quot;Wolseley&quot;,&quot;given&quot;:&quot;Pat&quot;},{&quot;family&quot;:&quot;Reay&quot;,&quot;given&quot;:&quot;David&quot;},{&quot;family&quot;:&quot;Sharma&quot;,&quot;given&quot;:&quot;Subodh&quot;},{&quot;family&quot;:&quot;Sutton&quot;,&quot;given&quot;:&quot;Mark&quot;}],&quot;issued&quot;:{&quot;date-parts&quot;:[[&quot;2022&quot;,&quot;1&quot;]]},&quot;DOI&quot;:&quot;10.1016/j.biocon.2021.109401&quot;,&quot;citation-label&quot;:&quot;13181336&quot;},{&quot;title&quot;:&quot;Development and types of passive samplers for monitoring atmospheric NO2 and NH3 concentrations.&quot;,&quot;page&quot;:&quot;513-529&quot;,&quot;volume&quot;:&quot;1&quot;,&quot;journalAbbreviation&quot;:&quot;ScientificWorldJournal&quot;,&quot;id&quot;:&quot;5538877&quot;,&quot;type&quot;:&quot;article-journal&quot;,&quot;container-title&quot;:&quot;Thescientificworldjournal&quot;,&quot;container-title-short&quot;:&quot;ScientificWorldJournal&quot;,&quot;abstract&quot;:&quot;Numerous passive samplers based on the \&quot;Palmes-tube\&quot; have been developed for ambient air monitoring. In each case, the diffusion path length and/or cross-sectional area are modified to achieve the desired sampling rate. \&quot;Tube-type\&quot; samplers are low sensitivity samplers suitable for long-term monitoring, whereas the \&quot;badge-type\&quot; samplers have faster sampling rates suited to short-term monitoring. In the U.K., diffusion tubes are widely used for monitoring nitrogen dioxide (NO2) and ammonia (NH3). The open-ended diffusion tubes are prone to positive bias caused by incursion of wind eddies, leading to a shortening of the diffusion path. By using a porous membrane at the inlet, wind incursion is prevented, but an additional diffusion resistance is imposed and it is necessary to calibrate the tubes against a reference method to obtain an effective sampling rate. For NO2 sampling, positive bias also arises from the reaction of NO with O3 within the sampler. The interference from the chemical reaction is severe close to NO sources, with errors up to 30% for curbside locations when using the \&quot;tube-type\&quot; sampler. In rural areas, where NO concentrations are small relative to NO2, these errors are small. In some implementations, there is also a negative bias over long sampling periods caused by the degradation of trapped NO2. The low sampling rates of diffusion tubes make them too uncertain for use at background NH3 concentrations (&lt; 1 microg NH3 m(-3)) where they significantly overestimate concentrations. Badge-type samplers such as the \&quot;Willems badge\&quot; samplers permit accurate sampling at low ambient NH3 concentrations, but suffer from saturation at high concentrations and sensitivity to wind speed. A passive sampler optimised for monthly measurements of NH3 is reported here, together with its application in the U.K. National Ammonia Monitoring Network.&quot;,&quot;author&quot;:[{&quot;family&quot;:&quot;Tang&quot;,&quot;given&quot;:&quot;Y S&quot;},{&quot;family&quot;:&quot;Cape&quot;,&quot;given&quot;:&quot;J N&quot;},{&quot;family&quot;:&quot;Sutton&quot;,&quot;given&quot;:&quot;M A&quot;}],&quot;issued&quot;:{&quot;date-parts&quot;:[[&quot;2001&quot;,&quot;10&quot;,&quot;9&quot;]]},&quot;DOI&quot;:&quot;10.1100/tsw.2001.82&quot;,&quot;PMID&quot;:&quot;12805844&quot;,&quot;PMCID&quot;:&quot;PMC6084063&quot;,&quot;citation-label&quot;:&quot;5538877&quot;},{&quot;title&quot;:&quot;A new diffusion denuder system for long-term, regional monitoring of atmospheric ammonia and ammonium&quot;,&quot;page&quot;:&quot;145-156&quot;,&quot;volume&quot;:&quot;1&quot;,&quot;id&quot;:&quot;14553679&quot;,&quot;type&quot;:&quot;article-journal&quot;,&quot;container-title&quot;:&quot;Water Air and Soil Pollution: Focus&quot;,&quot;author&quot;:[{&quot;family&quot;:&quot;Sutton&quot;,&quot;given&quot;:&quot;M A&quot;},{&quot;family&quot;:&quot;Tang&quot;,&quot;given&quot;:&quot;Y S&quot;},{&quot;family&quot;:&quot;Miners&quot;,&quot;given&quot;:&quot;B&quot;},{&quot;family&quot;:&quot;Fowler&quot;,&quot;given&quot;:&quot;D&quot;}],&quot;issued&quot;:{&quot;date-parts&quot;:[[&quot;2001&quot;]]},&quot;citation-label&quot;:&quot;14553679&quot;}]"/>
    <we:property name="sciwheel-selectedStyle" value="{&quot;id&quot;:&quot;atmospheric-environment&quot;,&quot;name&quot;:&quot;Atmospheric Environment&quot;,&quot;bibText&quot;:[{&quot;maxoffset&quot;:0,&quot;entryspacing&quot;:0,&quot;linespacing&quot;:1,&quot;second-field-align&quot;:false,&quot;entry_ids&quot;:[[&quot;0&quot;]],&quot;bibliography_errors&quot;:[],&quot;done&quot;:false,&quot;hangingindent&quot;:true,&quot;bibstart&quot;:&quot;&lt;div class=\&quot;csl-bib-body\&quot;&gt;\n&quot;,&quot;bibend&quot;:&quot;&lt;/div&gt;&quot;},[&quot;  &lt;div class=\&quot;csl-entry\&quot;&gt;Accadia, T., Acernese, F., Alshourbagy, M., Amico, P., Antonucci, F., Aoudia, S., Arnaud, N., Arnault, C., Arun, K.G., Astone, P., Avino, S., Babusci, D., Ballardin, G., Barone, F., Barrand, G., Barsotti, L., Barsuglia, M., Basti, A., Bauer, T.S., Beauville, F., Bebronne, M., Bejger, M., Beker, M.G., Bellachia, F., Belletoile, A., Beney, J.L., Bernardini, M., Bigotta, S., Bilhaut, R., Birindelli, S., Bitossi, M., Bizouard, M.A., Blom, M., Boccara, C., Boget, D., Bondu, F., Bonelli, L., Bonnand, R., Boschi, V., Bosi, L., Bouedo, T., Bouhou, B., Bozzi, A., Bracci, L., Braccini, S., Bradaschia, C., Branchesi, M., Briant, T., Brillet, A., Brisson, V., Brocco, L., Bulik, T., Bulten, H.J., Buskulic, D., Buy, C., Cagnoli, G., Calamai, G., Calloni, E., Campagna, E., Canuel, B., Carbognani, F., Carbone, L., Cavalier, F., Cavalieri, R., Cecchi, R., Cella, G., Cesarini, E., Chassande-Mottin, E., Chatterji, S., Chiche, R., Chincarini, A., Chiummo, A., Christensen, N., Clapson, A.C., Cleva, F., Coccia, E., Cohadon, P.-F., Colacino, C.N., Colas, J., Colla, A., Colombini, M., Conforto, G., Corsi, A., Cortese, S., Cottone, F., Coulon, J.-P., Cuoco, E., D’Antonio, S., Daguin, G., Dari, A., Dattilo, V., David, P.Y., Davier, M., Day, R., Debreczeni, G., Carolis, G.D., Dehamme, M., Fabbro, R.D., Pozzo, W.D., Prete, M. del, Derome, L., Rosa, R.D., DeSalvo, R., Dialinas, M., Fiore, L.D., Lieto, A.D., Emilio, M.D.P., Virgilio, A.D., Dietz, A., Doets, M., Dominici, P., Dominjon, A., Drago, M., Drezen, C., Dujardin, B., Dulach, B., Eder, C., Eleuteri, A., Enard, D., Evans, M., Fabbroni, L., Fafone, V., Fang, H., Ferrante, I., Fidecaro, F., Fiori, I., Flaminio, R., Forest, D., Forte, L.A., Fournier, J.-D., Fournier, L., Franc, J., Francois, O., Frasca, S., Frasconi, F., Freise, A., Gaddi, A., Galimberti, M., Gammaitoni, L., Ganau, P., Garnier, C., Garufi, F., Gáspár, M.E., Gemme, G., Genin, E., Gennai, A., Gennaro, G., Giacobone, L., Giazotto, A., Giordano, G., Giordano, L., Girard, C., Gouaty, R., Grado, A., Granata, M., Granata, V., Grave, X., Greverie, C., Groenstege, H., Guidi, G.M., Hamdani, S., Hayau, J.-F., Hebri, S., Heidmann, A., Heitmann, H., Hello, P., Hemming, G., Hennes, E., Hermel, R., Heusse, P., Holloway, L., Huet, D., Iannarelli, M., Jaranowski, P., Jehanno, D., Journet, L., Karkar, S., Ketel, T., Voet, H., Kovalik, J., Kowalska, I., Kreckelbergh, S., Krolak, A., Lacotte, J.C., Lagrange, B., Penna, P.L., Laval, M., Marec, J.C.L., Leroy, N., Letendre, N., Li, T.G.F., Lieunard, B., Liguori, N., Lodygensky, O., Lopez, B., Lorenzini, M., Loriette, V., Losurdo, G., Loupias, M., Mackowski, J.M., Maiani, T., Majorana, E., Magazzù, C., Maksimovic, I., Malvezzi, V., Man, N., Mancini, S., Mansoux, B., Mantovani, M., Marchesoni, F., Marion, F., Marin, P., Marque, J., Martelli, F., Masserot, A., Massonnet, L., Matone, G., Matone, L., Mazzoni, M., Menzinger, F., Michel, C., Milano, L., Minenkov, Y., Mitra, S., Mohan, M., Montorio, J.-L., Morand, R., Moreau, F., Moreau, J., Morgado, N., Morgia, A., Mosca, S., Moscatelli, V., Mours, B., Mugnier, P., Mul, F.-A., Naticchioni, L., Neri, I., Nocera, F., Pacaud, E., Pagliaroli, G., Pai, A., Palladino, L., Palomba, C., Paoletti, F., Paoletti, R., Paoli, A., Pardi, S., Parguez, G., Parisi, M., Pasqualetti, A., Passaquieti, R., Passuello, D., Perciballi, M., Perniola, B., Persichetti, G., Petit, S., Pichot, M., Piergiovanni, F., Pietka, M., Pignard, R., Pinard, L., Poggiani, R., Popolizio, P., Pradier, T., Prato, M., Prodi, G.A., Punturo, M., Puppo, P., Qipiani, K., Rabaste, O., Rabeling, D.S., Rácz, I., Raffaelli, F., Rapagnani, P., Rapisarda, S., Re, V., Reboux, A., Regimbau, T., Reita, V., Remilleux, A., Ricci, F., Ricciardi, I., Richard, F., Ripepe, M., Robinet, F., Rocchi, A., Rolland, L., Romano, R., Rosińska, D., Roudier, P., Ruggi, P., Russo, G., Salconi, L., Sannibale, V., Sassolas, B., Sentenac, D., Solimeno, S., Sottile, R., Sperandio, L., Stanga, R., Sturani, R., Swinkels, B., Tacca, M., Taddei, R., Taffarello, L., Tarallo, M., Tissot, S., Toncelli, A., Tonelli, M., Torre, O., Tournefier, E., Travasso, F., Tremola, C., Turri, E., Vajente, G., Brand, J.F.J. van den, Broeck, C.V.D., Putten, S. van der, Vasuth, M., Vavoulidis, M., Vedovato, G., Verkindt, D., Vetrano, F., Véziant, O., Viceré, A., Vinet, J.-Y., Vilalte, S., Vitale, S., Vocca, H., Ward, R.L., Was, M., Yamamoto, K., Yvert, M., Zendri, J.-P., Zhang, Z., 2012. Virgo: a laser interferometer to detect gravitational waves. J. Instrum. 7, P03012–P03012. https://doi.org/10.1088/1748-0221/7/03/P03012.&lt;/div&gt;\n&quot;]],&quot;citationText&quot;:&quot;(Accadia et al., 2012)&quot;}"/>
    <we:property name="sciwheel-styles" value="[{&quot;id&quot;:&quot;american-medical-association&quot;,&quot;name&quot;:&quot;AMA (American Medical Association)&quot;},{&quot;id&quot;:&quot;apa 7th&quot;,&quot;name&quot;:&quot;APA (American Psychological Association) 7th Edition&quot;},{&quot;id&quot;:&quot;atmospheric-environment&quot;,&quot;name&quot;:&quot;Atmospheric Environment&quot;,&quot;bibText&quot;:[{&quot;maxoffset&quot;:0,&quot;entryspacing&quot;:0,&quot;linespacing&quot;:1,&quot;second-field-align&quot;:false,&quot;entry_ids&quot;:[[&quot;0&quot;]],&quot;bibliography_errors&quot;:[],&quot;done&quot;:false,&quot;hangingindent&quot;:true,&quot;bibstart&quot;:&quot;&lt;div class=\&quot;csl-bib-body\&quot;&gt;\n&quot;,&quot;bibend&quot;:&quot;&lt;/div&gt;&quot;},[&quot;  &lt;div class=\&quot;csl-entry\&quot;&gt;Accadia, T., Acernese, F., Alshourbagy, M., Amico, P., Antonucci, F., Aoudia, S., Arnaud, N., Arnault, C., Arun, K.G., Astone, P., Avino, S., Babusci, D., Ballardin, G., Barone, F., Barrand, G., Barsotti, L., Barsuglia, M., Basti, A., Bauer, T.S., Beauville, F., Bebronne, M., Bejger, M., Beker, M.G., Bellachia, F., Belletoile, A., Beney, J.L., Bernardini, M., Bigotta, S., Bilhaut, R., Birindelli, S., Bitossi, M., Bizouard, M.A., Blom, M., Boccara, C., Boget, D., Bondu, F., Bonelli, L., Bonnand, R., Boschi, V., Bosi, L., Bouedo, T., Bouhou, B., Bozzi, A., Bracci, L., Braccini, S., Bradaschia, C., Branchesi, M., Briant, T., Brillet, A., Brisson, V., Brocco, L., Bulik, T., Bulten, H.J., Buskulic, D., Buy, C., Cagnoli, G., Calamai, G., Calloni, E., Campagna, E., Canuel, B., Carbognani, F., Carbone, L., Cavalier, F., Cavalieri, R., Cecchi, R., Cella, G., Cesarini, E., Chassande-Mottin, E., Chatterji, S., Chiche, R., Chincarini, A., Chiummo, A., Christensen, N., Clapson, A.C., Cleva, F., Coccia, E., Cohadon, P.-F., Colacino, C.N., Colas, J., Colla, A., Colombini, M., Conforto, G., Corsi, A., Cortese, S., Cottone, F., Coulon, J.-P., Cuoco, E., D’Antonio, S., Daguin, G., Dari, A., Dattilo, V., David, P.Y., Davier, M., Day, R., Debreczeni, G., Carolis, G.D., Dehamme, M., Fabbro, R.D., Pozzo, W.D., Prete, M. del, Derome, L., Rosa, R.D., DeSalvo, R., Dialinas, M., Fiore, L.D., Lieto, A.D., Emilio, M.D.P., Virgilio, A.D., Dietz, A., Doets, M., Dominici, P., Dominjon, A., Drago, M., Drezen, C., Dujardin, B., Dulach, B., Eder, C., Eleuteri, A., Enard, D., Evans, M., Fabbroni, L., Fafone, V., Fang, H., Ferrante, I., Fidecaro, F., Fiori, I., Flaminio, R., Forest, D., Forte, L.A., Fournier, J.-D., Fournier, L., Franc, J., Francois, O., Frasca, S., Frasconi, F., Freise, A., Gaddi, A., Galimberti, M., Gammaitoni, L., Ganau, P., Garnier, C., Garufi, F., Gáspár, M.E., Gemme, G., Genin, E., Gennai, A., Gennaro, G., Giacobone, L., Giazotto, A., Giordano, G., Giordano, L., Girard, C., Gouaty, R., Grado, A., Granata, M., Granata, V., Grave, X., Greverie, C., Groenstege, H., Guidi, G.M., Hamdani, S., Hayau, J.-F., Hebri, S., Heidmann, A., Heitmann, H., Hello, P., Hemming, G., Hennes, E., Hermel, R., Heusse, P., Holloway, L., Huet, D., Iannarelli, M., Jaranowski, P., Jehanno, D., Journet, L., Karkar, S., Ketel, T., Voet, H., Kovalik, J., Kowalska, I., Kreckelbergh, S., Krolak, A., Lacotte, J.C., Lagrange, B., Penna, P.L., Laval, M., Marec, J.C.L., Leroy, N., Letendre, N., Li, T.G.F., Lieunard, B., Liguori, N., Lodygensky, O., Lopez, B., Lorenzini, M., Loriette, V., Losurdo, G., Loupias, M., Mackowski, J.M., Maiani, T., Majorana, E., Magazzù, C., Maksimovic, I., Malvezzi, V., Man, N., Mancini, S., Mansoux, B., Mantovani, M., Marchesoni, F., Marion, F., Marin, P., Marque, J., Martelli, F., Masserot, A., Massonnet, L., Matone, G., Matone, L., Mazzoni, M., Menzinger, F., Michel, C., Milano, L., Minenkov, Y., Mitra, S., Mohan, M., Montorio, J.-L., Morand, R., Moreau, F., Moreau, J., Morgado, N., Morgia, A., Mosca, S., Moscatelli, V., Mours, B., Mugnier, P., Mul, F.-A., Naticchioni, L., Neri, I., Nocera, F., Pacaud, E., Pagliaroli, G., Pai, A., Palladino, L., Palomba, C., Paoletti, F., Paoletti, R., Paoli, A., Pardi, S., Parguez, G., Parisi, M., Pasqualetti, A., Passaquieti, R., Passuello, D., Perciballi, M., Perniola, B., Persichetti, G., Petit, S., Pichot, M., Piergiovanni, F., Pietka, M., Pignard, R., Pinard, L., Poggiani, R., Popolizio, P., Pradier, T., Prato, M., Prodi, G.A., Punturo, M., Puppo, P., Qipiani, K., Rabaste, O., Rabeling, D.S., Rácz, I., Raffaelli, F., Rapagnani, P., Rapisarda, S., Re, V., Reboux, A., Regimbau, T., Reita, V., Remilleux, A., Ricci, F., Ricciardi, I., Richard, F., Ripepe, M., Robinet, F., Rocchi, A., Rolland, L., Romano, R., Rosińska, D., Roudier, P., Ruggi, P., Russo, G., Salconi, L., Sannibale, V., Sassolas, B., Sentenac, D., Solimeno, S., Sottile, R., Sperandio, L., Stanga, R., Sturani, R., Swinkels, B., Tacca, M., Taddei, R., Taffarello, L., Tarallo, M., Tissot, S., Toncelli, A., Tonelli, M., Torre, O., Tournefier, E., Travasso, F., Tremola, C., Turri, E., Vajente, G., Brand, J.F.J. van den, Broeck, C.V.D., Putten, S. van der, Vasuth, M., Vavoulidis, M., Vedovato, G., Verkindt, D., Vetrano, F., Véziant, O., Viceré, A., Vinet, J.-Y., Vilalte, S., Vitale, S., Vocca, H., Ward, R.L., Was, M., Yamamoto, K., Yvert, M., Zendri, J.-P., Zhang, Z., 2012. Virgo: a laser interferometer to detect gravitational waves. J. Instrum. 7, P03012–P03012. https://doi.org/10.1088/1748-0221/7/03/P03012.&lt;/div&gt;\n&quot;]],&quot;citationText&quot;:&quot;(Accadia et al., 2012)&quot;},{&quot;id&quot;:&quot;cell&quot;,&quot;name&quot;:&quot;Cell&quot;},{&quot;id&quot;:&quot;chicago-17th-edition&quot;,&quot;name&quot;:&quot;Chicago 17th Edition (author-date)&quot;},{&quot;id&quot;:&quot;cite-them-right-11th-edition-harvard&quot;,&quot;name&quot;:&quot;Cite Them Right 11th Edition - Harvard&quot;},{&quot;id&quot;:&quot;ieee&quot;,&quot;name&quot;:&quot;IEEE&quot;},{&quot;id&quot;:&quot;modern-language-association&quot;,&quot;name&quot;:&quot;MLA (Modern Language Association)&quot;},{&quot;id&quot;:&quot;national-library-of-medicine-grant-proposals&quot;,&quot;name&quot;:&quot;National Library of Medicine (Grant proposals with PMCID/PMID)&quot;},{&quot;id&quot;:&quot;nature&quot;,&quot;name&quot;:&quot;Nature&quot;},{&quot;id&quot;:&quot;science&quot;,&quot;name&quot;:&quot;Science&quot;},{&quot;id&quot;:&quot;vancouver&quot;,&quot;name&quot;:&quot;Vancouver&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67</TotalTime>
  <Pages>2</Pages>
  <Words>763</Words>
  <Characters>4354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Centre for Ecology and Hydrology</Company>
  <LinksUpToDate>false</LinksUpToDate>
  <CharactersWithSpaces>5107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Ajinkya Deshpande</dc:creator>
  <cp:keywords/>
  <dc:description/>
  <cp:lastModifiedBy>Ajinkya Deshpande</cp:lastModifiedBy>
  <cp:revision>14</cp:revision>
  <dcterms:created xsi:type="dcterms:W3CDTF">2023-06-28T14:38:00Z</dcterms:created>
  <dcterms:modified xsi:type="dcterms:W3CDTF">2025-02-27T12:48:00Z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Id">
    <vt:lpwstr>2003841</vt:lpwstr>
  </property>
  <property fmtid="{D5CDD505-2E9C-101B-9397-08002B2CF9AE}" pid="3" name="ProjectId">
    <vt:lpwstr>-1</vt:lpwstr>
  </property>
  <property fmtid="{D5CDD505-2E9C-101B-9397-08002B2CF9AE}" pid="4" name="InsertAsFootnote">
    <vt:lpwstr>False</vt:lpwstr>
  </property>
  <property fmtid="{D5CDD505-2E9C-101B-9397-08002B2CF9AE}" pid="5" name="StyleId">
    <vt:lpwstr>http://www.zotero.org/styles/vancouver</vt:lpwstr>
  </property>
</Properties>
</file>