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1051B" w14:textId="1636A55C" w:rsidR="009401E5" w:rsidRDefault="268CE984" w:rsidP="65D5587F">
      <w:pPr>
        <w:pStyle w:val="Heading1"/>
        <w:rPr>
          <w:rFonts w:ascii="Aptos Display" w:eastAsia="Aptos Display" w:hAnsi="Aptos Display" w:cs="Aptos Display"/>
        </w:rPr>
      </w:pPr>
      <w:r w:rsidRPr="65D5587F">
        <w:rPr>
          <w:rFonts w:ascii="Aptos Display" w:eastAsia="Aptos Display" w:hAnsi="Aptos Display" w:cs="Aptos Display"/>
          <w:lang w:val="en-GB"/>
        </w:rPr>
        <w:t>Supporting Information</w:t>
      </w:r>
    </w:p>
    <w:p w14:paraId="0709AEEB" w14:textId="041717B1" w:rsidR="00371C52" w:rsidRPr="00371C52" w:rsidRDefault="00371C52" w:rsidP="00371C52">
      <w:pPr>
        <w:rPr>
          <w:rFonts w:ascii="Aptos Display" w:eastAsia="Aptos Display" w:hAnsi="Aptos Display" w:cs="Aptos Display"/>
          <w:color w:val="0F4761" w:themeColor="accent1" w:themeShade="BF"/>
          <w:sz w:val="32"/>
          <w:szCs w:val="32"/>
          <w:lang w:val="en-GB"/>
        </w:rPr>
      </w:pPr>
      <w:r w:rsidRPr="00371C52">
        <w:rPr>
          <w:rFonts w:ascii="Aptos Display" w:eastAsia="Aptos Display" w:hAnsi="Aptos Display" w:cs="Aptos Display"/>
          <w:color w:val="0F4761" w:themeColor="accent1" w:themeShade="BF"/>
          <w:sz w:val="32"/>
          <w:szCs w:val="32"/>
          <w:lang w:val="en-GB"/>
        </w:rPr>
        <w:t xml:space="preserve">Diatom taxon abundances at river sites in the Cordillera </w:t>
      </w:r>
      <w:r w:rsidR="002B2294">
        <w:rPr>
          <w:rFonts w:ascii="Aptos Display" w:eastAsia="Aptos Display" w:hAnsi="Aptos Display" w:cs="Aptos Display"/>
          <w:color w:val="0F4761" w:themeColor="accent1" w:themeShade="BF"/>
          <w:sz w:val="32"/>
          <w:szCs w:val="32"/>
          <w:lang w:val="en-GB"/>
        </w:rPr>
        <w:t>Blanca</w:t>
      </w:r>
      <w:r w:rsidRPr="00371C52">
        <w:rPr>
          <w:rFonts w:ascii="Aptos Display" w:eastAsia="Aptos Display" w:hAnsi="Aptos Display" w:cs="Aptos Display"/>
          <w:color w:val="0F4761" w:themeColor="accent1" w:themeShade="BF"/>
          <w:sz w:val="32"/>
          <w:szCs w:val="32"/>
          <w:lang w:val="en-GB"/>
        </w:rPr>
        <w:t xml:space="preserve"> region of the Peruvian Andes, 20</w:t>
      </w:r>
      <w:r w:rsidR="002B2294">
        <w:rPr>
          <w:rFonts w:ascii="Aptos Display" w:eastAsia="Aptos Display" w:hAnsi="Aptos Display" w:cs="Aptos Display"/>
          <w:color w:val="0F4761" w:themeColor="accent1" w:themeShade="BF"/>
          <w:sz w:val="32"/>
          <w:szCs w:val="32"/>
          <w:lang w:val="en-GB"/>
        </w:rPr>
        <w:t>20</w:t>
      </w:r>
    </w:p>
    <w:p w14:paraId="0BBE23DD" w14:textId="736FA2D1" w:rsidR="009401E5" w:rsidRDefault="009401E5" w:rsidP="65D5587F">
      <w:pPr>
        <w:rPr>
          <w:rFonts w:ascii="Aptos" w:eastAsia="Aptos" w:hAnsi="Aptos" w:cs="Aptos"/>
          <w:color w:val="000000" w:themeColor="text1"/>
        </w:rPr>
      </w:pPr>
    </w:p>
    <w:p w14:paraId="3B9B09B9" w14:textId="103B9A69" w:rsidR="009401E5" w:rsidRDefault="268CE984" w:rsidP="65D5587F">
      <w:pPr>
        <w:pStyle w:val="Heading3"/>
        <w:rPr>
          <w:rFonts w:ascii="Aptos" w:eastAsia="Aptos" w:hAnsi="Aptos" w:cs="Aptos"/>
        </w:rPr>
      </w:pPr>
      <w:r w:rsidRPr="65D5587F">
        <w:rPr>
          <w:rFonts w:ascii="Aptos" w:eastAsia="Aptos" w:hAnsi="Aptos" w:cs="Aptos"/>
          <w:lang w:val="en-GB"/>
        </w:rPr>
        <w:t>Summary</w:t>
      </w:r>
    </w:p>
    <w:p w14:paraId="7F11FEAF" w14:textId="185BF63E" w:rsidR="009401E5" w:rsidRDefault="268CE984" w:rsidP="65D5587F">
      <w:pPr>
        <w:rPr>
          <w:rFonts w:ascii="Aptos" w:eastAsia="Aptos" w:hAnsi="Aptos" w:cs="Aptos"/>
          <w:color w:val="000000" w:themeColor="text1"/>
        </w:rPr>
      </w:pPr>
      <w:r w:rsidRPr="65D5587F">
        <w:rPr>
          <w:rFonts w:ascii="Aptos" w:eastAsia="Aptos" w:hAnsi="Aptos" w:cs="Aptos"/>
          <w:color w:val="000000" w:themeColor="text1"/>
          <w:lang w:val="en-GB"/>
        </w:rPr>
        <w:t xml:space="preserve">The data includes diatom taxon abundance data from rivers in the Peruvian Andes. Diatoms were collected from </w:t>
      </w:r>
      <w:r w:rsidR="00FE2FEA">
        <w:rPr>
          <w:rFonts w:ascii="Aptos" w:eastAsia="Aptos" w:hAnsi="Aptos" w:cs="Aptos"/>
          <w:color w:val="000000" w:themeColor="text1"/>
          <w:lang w:val="en-GB"/>
        </w:rPr>
        <w:t>1</w:t>
      </w:r>
      <w:r w:rsidR="002B2294">
        <w:rPr>
          <w:rFonts w:ascii="Aptos" w:eastAsia="Aptos" w:hAnsi="Aptos" w:cs="Aptos"/>
          <w:color w:val="000000" w:themeColor="text1"/>
          <w:lang w:val="en-GB"/>
        </w:rPr>
        <w:t>1</w:t>
      </w:r>
      <w:r w:rsidRPr="65D5587F">
        <w:rPr>
          <w:rFonts w:ascii="Aptos" w:eastAsia="Aptos" w:hAnsi="Aptos" w:cs="Aptos"/>
          <w:color w:val="000000" w:themeColor="text1"/>
          <w:lang w:val="en-GB"/>
        </w:rPr>
        <w:t xml:space="preserve"> river sites in the Cordillera </w:t>
      </w:r>
      <w:r w:rsidR="002B2294">
        <w:rPr>
          <w:rFonts w:ascii="Aptos" w:eastAsia="Aptos" w:hAnsi="Aptos" w:cs="Aptos"/>
          <w:color w:val="000000" w:themeColor="text1"/>
          <w:lang w:val="en-GB"/>
        </w:rPr>
        <w:t>Blanca</w:t>
      </w:r>
      <w:r w:rsidRPr="65D5587F">
        <w:rPr>
          <w:rFonts w:ascii="Aptos" w:eastAsia="Aptos" w:hAnsi="Aptos" w:cs="Aptos"/>
          <w:color w:val="000000" w:themeColor="text1"/>
          <w:lang w:val="en-GB"/>
        </w:rPr>
        <w:t xml:space="preserve"> region. Diatoms were then identified and abundances determined using microscopy in the laboratory. </w:t>
      </w:r>
    </w:p>
    <w:p w14:paraId="42EF5D06" w14:textId="0DCD7FDD" w:rsidR="009401E5" w:rsidRDefault="009401E5" w:rsidP="65D5587F">
      <w:pPr>
        <w:rPr>
          <w:rFonts w:ascii="Aptos" w:eastAsia="Aptos" w:hAnsi="Aptos" w:cs="Aptos"/>
          <w:color w:val="000000" w:themeColor="text1"/>
        </w:rPr>
      </w:pPr>
    </w:p>
    <w:p w14:paraId="6CE0A56B" w14:textId="2B8C86EB" w:rsidR="009401E5" w:rsidRDefault="268CE984" w:rsidP="65D5587F">
      <w:pPr>
        <w:pStyle w:val="Heading3"/>
        <w:rPr>
          <w:rFonts w:ascii="Aptos" w:eastAsia="Aptos" w:hAnsi="Aptos" w:cs="Aptos"/>
        </w:rPr>
      </w:pPr>
      <w:r w:rsidRPr="65D5587F">
        <w:rPr>
          <w:rFonts w:ascii="Aptos" w:eastAsia="Aptos" w:hAnsi="Aptos" w:cs="Aptos"/>
          <w:lang w:val="en-GB"/>
        </w:rPr>
        <w:t>File Format</w:t>
      </w:r>
    </w:p>
    <w:p w14:paraId="13BC257B" w14:textId="116CBAA1" w:rsidR="009401E5" w:rsidRDefault="268CE984" w:rsidP="65D5587F">
      <w:pPr>
        <w:rPr>
          <w:rFonts w:ascii="Aptos" w:eastAsia="Aptos" w:hAnsi="Aptos" w:cs="Aptos"/>
          <w:color w:val="000000" w:themeColor="text1"/>
        </w:rPr>
      </w:pPr>
      <w:r w:rsidRPr="65D5587F">
        <w:rPr>
          <w:rFonts w:ascii="Aptos" w:eastAsia="Aptos" w:hAnsi="Aptos" w:cs="Aptos"/>
          <w:color w:val="000000" w:themeColor="text1"/>
          <w:lang w:val="en-GB"/>
        </w:rPr>
        <w:t>CSV</w:t>
      </w:r>
    </w:p>
    <w:p w14:paraId="5D251C42" w14:textId="4B0D2027" w:rsidR="009401E5" w:rsidRDefault="009401E5" w:rsidP="65D5587F">
      <w:pPr>
        <w:rPr>
          <w:rFonts w:ascii="Aptos" w:eastAsia="Aptos" w:hAnsi="Aptos" w:cs="Aptos"/>
          <w:color w:val="000000" w:themeColor="text1"/>
        </w:rPr>
      </w:pPr>
    </w:p>
    <w:p w14:paraId="761A6B67" w14:textId="7C1E6693" w:rsidR="009401E5" w:rsidRDefault="268CE984" w:rsidP="65D5587F">
      <w:pPr>
        <w:pStyle w:val="Heading3"/>
        <w:rPr>
          <w:rFonts w:ascii="Aptos" w:eastAsia="Aptos" w:hAnsi="Aptos" w:cs="Aptos"/>
        </w:rPr>
      </w:pPr>
      <w:r w:rsidRPr="65D5587F">
        <w:rPr>
          <w:rFonts w:ascii="Aptos" w:eastAsia="Aptos" w:hAnsi="Aptos" w:cs="Aptos"/>
          <w:lang w:val="en-GB"/>
        </w:rPr>
        <w:t>File names</w:t>
      </w:r>
    </w:p>
    <w:p w14:paraId="35C62F94" w14:textId="6E22B87D" w:rsidR="009401E5" w:rsidRDefault="268CE984" w:rsidP="65D5587F">
      <w:pPr>
        <w:rPr>
          <w:rFonts w:ascii="Aptos" w:eastAsia="Aptos" w:hAnsi="Aptos" w:cs="Aptos"/>
          <w:color w:val="000000" w:themeColor="text1"/>
          <w:lang w:val="en-GB"/>
        </w:rPr>
      </w:pPr>
      <w:r w:rsidRPr="65D5587F">
        <w:rPr>
          <w:rFonts w:ascii="Aptos" w:eastAsia="Aptos" w:hAnsi="Aptos" w:cs="Aptos"/>
          <w:color w:val="000000" w:themeColor="text1"/>
          <w:lang w:val="en-GB"/>
        </w:rPr>
        <w:t>peru_</w:t>
      </w:r>
      <w:r w:rsidR="002B2294">
        <w:rPr>
          <w:rFonts w:ascii="Aptos" w:eastAsia="Aptos" w:hAnsi="Aptos" w:cs="Aptos"/>
          <w:color w:val="000000" w:themeColor="text1"/>
          <w:lang w:val="en-GB"/>
        </w:rPr>
        <w:t>blanca</w:t>
      </w:r>
      <w:r w:rsidR="0F3B0F09" w:rsidRPr="65D5587F">
        <w:rPr>
          <w:rFonts w:ascii="Aptos" w:eastAsia="Aptos" w:hAnsi="Aptos" w:cs="Aptos"/>
          <w:color w:val="000000" w:themeColor="text1"/>
          <w:lang w:val="en-GB"/>
        </w:rPr>
        <w:t>_tax_abundance</w:t>
      </w:r>
      <w:r w:rsidRPr="65D5587F">
        <w:rPr>
          <w:rFonts w:ascii="Aptos" w:eastAsia="Aptos" w:hAnsi="Aptos" w:cs="Aptos"/>
          <w:color w:val="000000" w:themeColor="text1"/>
          <w:lang w:val="en-GB"/>
        </w:rPr>
        <w:t>.csv</w:t>
      </w:r>
    </w:p>
    <w:p w14:paraId="5950EA78" w14:textId="77777777" w:rsidR="00371C52" w:rsidRDefault="00371C52" w:rsidP="65D5587F">
      <w:pPr>
        <w:rPr>
          <w:rFonts w:ascii="Aptos" w:eastAsia="Aptos" w:hAnsi="Aptos" w:cs="Aptos"/>
          <w:color w:val="000000" w:themeColor="text1"/>
        </w:rPr>
      </w:pPr>
    </w:p>
    <w:p w14:paraId="4FD2667C" w14:textId="249B2118" w:rsidR="009401E5" w:rsidRDefault="268CE984" w:rsidP="65D5587F">
      <w:pPr>
        <w:pStyle w:val="Heading3"/>
        <w:rPr>
          <w:rFonts w:ascii="Aptos" w:eastAsia="Aptos" w:hAnsi="Aptos" w:cs="Aptos"/>
        </w:rPr>
      </w:pPr>
      <w:r w:rsidRPr="65D5587F">
        <w:rPr>
          <w:rFonts w:ascii="Aptos" w:eastAsia="Aptos" w:hAnsi="Aptos" w:cs="Aptos"/>
          <w:lang w:val="en-GB"/>
        </w:rPr>
        <w:t>Nature and units of recorded values</w:t>
      </w: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000"/>
        <w:gridCol w:w="4350"/>
        <w:gridCol w:w="1650"/>
      </w:tblGrid>
      <w:tr w:rsidR="65D5587F" w14:paraId="668B953D" w14:textId="77777777" w:rsidTr="65D5587F">
        <w:trPr>
          <w:trHeight w:val="300"/>
        </w:trPr>
        <w:tc>
          <w:tcPr>
            <w:tcW w:w="3000" w:type="dxa"/>
            <w:tcMar>
              <w:left w:w="105" w:type="dxa"/>
              <w:right w:w="105" w:type="dxa"/>
            </w:tcMar>
          </w:tcPr>
          <w:p w14:paraId="58680559" w14:textId="0F1BA303" w:rsidR="65D5587F" w:rsidRDefault="65D5587F" w:rsidP="65D5587F">
            <w:pPr>
              <w:rPr>
                <w:rFonts w:ascii="Aptos" w:eastAsia="Aptos" w:hAnsi="Aptos" w:cs="Aptos"/>
              </w:rPr>
            </w:pPr>
            <w:r w:rsidRPr="65D5587F">
              <w:rPr>
                <w:rFonts w:ascii="Aptos" w:eastAsia="Aptos" w:hAnsi="Aptos" w:cs="Aptos"/>
                <w:b/>
                <w:bCs/>
                <w:lang w:val="en-GB"/>
              </w:rPr>
              <w:t>Variable</w:t>
            </w:r>
          </w:p>
        </w:tc>
        <w:tc>
          <w:tcPr>
            <w:tcW w:w="4350" w:type="dxa"/>
            <w:tcMar>
              <w:left w:w="105" w:type="dxa"/>
              <w:right w:w="105" w:type="dxa"/>
            </w:tcMar>
          </w:tcPr>
          <w:p w14:paraId="17317EB5" w14:textId="18C33D6E" w:rsidR="65D5587F" w:rsidRDefault="65D5587F" w:rsidP="65D5587F">
            <w:pPr>
              <w:rPr>
                <w:rFonts w:ascii="Aptos" w:eastAsia="Aptos" w:hAnsi="Aptos" w:cs="Aptos"/>
              </w:rPr>
            </w:pPr>
            <w:r w:rsidRPr="65D5587F">
              <w:rPr>
                <w:rFonts w:ascii="Aptos" w:eastAsia="Aptos" w:hAnsi="Aptos" w:cs="Aptos"/>
                <w:b/>
                <w:bCs/>
                <w:lang w:val="en-GB"/>
              </w:rPr>
              <w:t>Description</w:t>
            </w:r>
          </w:p>
        </w:tc>
        <w:tc>
          <w:tcPr>
            <w:tcW w:w="1650" w:type="dxa"/>
            <w:tcMar>
              <w:left w:w="105" w:type="dxa"/>
              <w:right w:w="105" w:type="dxa"/>
            </w:tcMar>
          </w:tcPr>
          <w:p w14:paraId="0AE17BA6" w14:textId="0DAF659E" w:rsidR="65D5587F" w:rsidRDefault="65D5587F" w:rsidP="65D5587F">
            <w:pPr>
              <w:rPr>
                <w:rFonts w:ascii="Aptos" w:eastAsia="Aptos" w:hAnsi="Aptos" w:cs="Aptos"/>
              </w:rPr>
            </w:pPr>
            <w:r w:rsidRPr="65D5587F">
              <w:rPr>
                <w:rFonts w:ascii="Aptos" w:eastAsia="Aptos" w:hAnsi="Aptos" w:cs="Aptos"/>
                <w:b/>
                <w:bCs/>
                <w:lang w:val="en-GB"/>
              </w:rPr>
              <w:t>Units</w:t>
            </w:r>
          </w:p>
        </w:tc>
      </w:tr>
      <w:tr w:rsidR="65D5587F" w14:paraId="235DBD32" w14:textId="77777777" w:rsidTr="65D5587F">
        <w:trPr>
          <w:trHeight w:val="300"/>
        </w:trPr>
        <w:tc>
          <w:tcPr>
            <w:tcW w:w="3000" w:type="dxa"/>
            <w:tcMar>
              <w:left w:w="105" w:type="dxa"/>
              <w:right w:w="105" w:type="dxa"/>
            </w:tcMar>
          </w:tcPr>
          <w:p w14:paraId="41EA21E1" w14:textId="0488BCA5" w:rsidR="65D5587F" w:rsidRDefault="65D5587F" w:rsidP="65D5587F">
            <w:pPr>
              <w:rPr>
                <w:rFonts w:ascii="Aptos" w:eastAsia="Aptos" w:hAnsi="Aptos" w:cs="Aptos"/>
              </w:rPr>
            </w:pPr>
            <w:r w:rsidRPr="65D5587F">
              <w:rPr>
                <w:rFonts w:ascii="Aptos" w:eastAsia="Aptos" w:hAnsi="Aptos" w:cs="Aptos"/>
                <w:lang w:val="en-GB"/>
              </w:rPr>
              <w:t>region</w:t>
            </w:r>
          </w:p>
        </w:tc>
        <w:tc>
          <w:tcPr>
            <w:tcW w:w="4350" w:type="dxa"/>
            <w:tcMar>
              <w:left w:w="105" w:type="dxa"/>
              <w:right w:w="105" w:type="dxa"/>
            </w:tcMar>
          </w:tcPr>
          <w:p w14:paraId="03655F05" w14:textId="43E8EEFA" w:rsidR="65D5587F" w:rsidRDefault="65D5587F" w:rsidP="65D5587F">
            <w:pPr>
              <w:rPr>
                <w:rFonts w:ascii="Aptos" w:eastAsia="Aptos" w:hAnsi="Aptos" w:cs="Aptos"/>
              </w:rPr>
            </w:pPr>
            <w:r w:rsidRPr="65D5587F">
              <w:rPr>
                <w:rFonts w:ascii="Aptos" w:eastAsia="Aptos" w:hAnsi="Aptos" w:cs="Aptos"/>
                <w:lang w:val="en-GB"/>
              </w:rPr>
              <w:t>The sample region (Cordillera)</w:t>
            </w:r>
          </w:p>
        </w:tc>
        <w:tc>
          <w:tcPr>
            <w:tcW w:w="1650" w:type="dxa"/>
            <w:tcMar>
              <w:left w:w="105" w:type="dxa"/>
              <w:right w:w="105" w:type="dxa"/>
            </w:tcMar>
          </w:tcPr>
          <w:p w14:paraId="154F9AC3" w14:textId="25CD77D7" w:rsidR="65D5587F" w:rsidRDefault="65D5587F" w:rsidP="65D5587F">
            <w:pPr>
              <w:rPr>
                <w:rFonts w:ascii="Aptos" w:eastAsia="Aptos" w:hAnsi="Aptos" w:cs="Aptos"/>
              </w:rPr>
            </w:pPr>
            <w:r w:rsidRPr="65D5587F">
              <w:rPr>
                <w:rFonts w:ascii="Aptos" w:eastAsia="Aptos" w:hAnsi="Aptos" w:cs="Aptos"/>
                <w:lang w:val="en-GB"/>
              </w:rPr>
              <w:t>NA</w:t>
            </w:r>
          </w:p>
        </w:tc>
      </w:tr>
      <w:tr w:rsidR="65D5587F" w14:paraId="7AA63B7E" w14:textId="77777777" w:rsidTr="65D5587F">
        <w:trPr>
          <w:trHeight w:val="300"/>
        </w:trPr>
        <w:tc>
          <w:tcPr>
            <w:tcW w:w="3000" w:type="dxa"/>
            <w:tcMar>
              <w:left w:w="105" w:type="dxa"/>
              <w:right w:w="105" w:type="dxa"/>
            </w:tcMar>
          </w:tcPr>
          <w:p w14:paraId="2254CD6C" w14:textId="7BA0F2F9" w:rsidR="17A83FC8" w:rsidRDefault="17A83FC8" w:rsidP="65D5587F">
            <w:r w:rsidRPr="65D5587F">
              <w:rPr>
                <w:rFonts w:ascii="Aptos" w:eastAsia="Aptos" w:hAnsi="Aptos" w:cs="Aptos"/>
                <w:lang w:val="en-GB"/>
              </w:rPr>
              <w:t>site</w:t>
            </w:r>
          </w:p>
        </w:tc>
        <w:tc>
          <w:tcPr>
            <w:tcW w:w="4350" w:type="dxa"/>
            <w:tcMar>
              <w:left w:w="105" w:type="dxa"/>
              <w:right w:w="105" w:type="dxa"/>
            </w:tcMar>
          </w:tcPr>
          <w:p w14:paraId="7B2B9334" w14:textId="73BAE45F" w:rsidR="65D5587F" w:rsidRDefault="65D5587F" w:rsidP="65D5587F">
            <w:pPr>
              <w:rPr>
                <w:rFonts w:ascii="Aptos" w:eastAsia="Aptos" w:hAnsi="Aptos" w:cs="Aptos"/>
              </w:rPr>
            </w:pPr>
            <w:r w:rsidRPr="65D5587F">
              <w:rPr>
                <w:rFonts w:ascii="Aptos" w:eastAsia="Aptos" w:hAnsi="Aptos" w:cs="Aptos"/>
                <w:lang w:val="en-GB"/>
              </w:rPr>
              <w:t xml:space="preserve">The river </w:t>
            </w:r>
            <w:r w:rsidR="65D423FC" w:rsidRPr="65D5587F">
              <w:rPr>
                <w:rFonts w:ascii="Aptos" w:eastAsia="Aptos" w:hAnsi="Aptos" w:cs="Aptos"/>
                <w:lang w:val="en-GB"/>
              </w:rPr>
              <w:t xml:space="preserve">site </w:t>
            </w:r>
            <w:r w:rsidRPr="65D5587F">
              <w:rPr>
                <w:rFonts w:ascii="Aptos" w:eastAsia="Aptos" w:hAnsi="Aptos" w:cs="Aptos"/>
                <w:lang w:val="en-GB"/>
              </w:rPr>
              <w:t>of sampling</w:t>
            </w:r>
          </w:p>
        </w:tc>
        <w:tc>
          <w:tcPr>
            <w:tcW w:w="1650" w:type="dxa"/>
            <w:tcMar>
              <w:left w:w="105" w:type="dxa"/>
              <w:right w:w="105" w:type="dxa"/>
            </w:tcMar>
          </w:tcPr>
          <w:p w14:paraId="664E8ABC" w14:textId="46C6A1A5" w:rsidR="65D5587F" w:rsidRDefault="65D5587F" w:rsidP="65D5587F">
            <w:pPr>
              <w:rPr>
                <w:rFonts w:ascii="Aptos" w:eastAsia="Aptos" w:hAnsi="Aptos" w:cs="Aptos"/>
              </w:rPr>
            </w:pPr>
            <w:r w:rsidRPr="65D5587F">
              <w:rPr>
                <w:rFonts w:ascii="Aptos" w:eastAsia="Aptos" w:hAnsi="Aptos" w:cs="Aptos"/>
                <w:lang w:val="en-GB"/>
              </w:rPr>
              <w:t>NA</w:t>
            </w:r>
          </w:p>
        </w:tc>
      </w:tr>
      <w:tr w:rsidR="65D5587F" w14:paraId="1DDA7989" w14:textId="77777777" w:rsidTr="65D5587F">
        <w:trPr>
          <w:trHeight w:val="300"/>
        </w:trPr>
        <w:tc>
          <w:tcPr>
            <w:tcW w:w="3000" w:type="dxa"/>
            <w:tcMar>
              <w:left w:w="105" w:type="dxa"/>
              <w:right w:w="105" w:type="dxa"/>
            </w:tcMar>
          </w:tcPr>
          <w:p w14:paraId="62259248" w14:textId="13A73EF4" w:rsidR="35FB77C1" w:rsidRDefault="35FB77C1" w:rsidP="65D5587F">
            <w:pPr>
              <w:rPr>
                <w:lang w:val="en-GB"/>
              </w:rPr>
            </w:pPr>
            <w:r w:rsidRPr="65D5587F">
              <w:rPr>
                <w:lang w:val="en-GB"/>
              </w:rPr>
              <w:t xml:space="preserve">Taxon (e.g. </w:t>
            </w:r>
            <w:r w:rsidRPr="65D5587F">
              <w:rPr>
                <w:color w:val="242424"/>
                <w:lang w:val="en-GB"/>
              </w:rPr>
              <w:t>Achnanthes.sp..1)</w:t>
            </w:r>
          </w:p>
        </w:tc>
        <w:tc>
          <w:tcPr>
            <w:tcW w:w="4350" w:type="dxa"/>
            <w:tcMar>
              <w:left w:w="105" w:type="dxa"/>
              <w:right w:w="105" w:type="dxa"/>
            </w:tcMar>
          </w:tcPr>
          <w:p w14:paraId="5F726636" w14:textId="58B8B110" w:rsidR="35FB77C1" w:rsidRDefault="35FB77C1" w:rsidP="65D5587F">
            <w:pPr>
              <w:rPr>
                <w:rFonts w:ascii="Aptos" w:eastAsia="Aptos" w:hAnsi="Aptos" w:cs="Aptos"/>
                <w:lang w:val="en-GB"/>
              </w:rPr>
            </w:pPr>
            <w:r w:rsidRPr="65D5587F">
              <w:rPr>
                <w:rFonts w:ascii="Aptos" w:eastAsia="Aptos" w:hAnsi="Aptos" w:cs="Aptos"/>
                <w:lang w:val="en-GB"/>
              </w:rPr>
              <w:t>The density of diatom valves for that taxon</w:t>
            </w:r>
          </w:p>
        </w:tc>
        <w:tc>
          <w:tcPr>
            <w:tcW w:w="1650" w:type="dxa"/>
            <w:tcMar>
              <w:left w:w="105" w:type="dxa"/>
              <w:right w:w="105" w:type="dxa"/>
            </w:tcMar>
          </w:tcPr>
          <w:p w14:paraId="319BAEDF" w14:textId="208F737D" w:rsidR="35FB77C1" w:rsidRDefault="35FB77C1" w:rsidP="65D5587F">
            <w:pPr>
              <w:rPr>
                <w:rFonts w:ascii="Aptos" w:eastAsia="Aptos" w:hAnsi="Aptos" w:cs="Aptos"/>
                <w:vertAlign w:val="superscript"/>
                <w:lang w:val="en-GB"/>
              </w:rPr>
            </w:pPr>
            <w:r w:rsidRPr="65D5587F">
              <w:rPr>
                <w:rFonts w:ascii="Aptos" w:eastAsia="Aptos" w:hAnsi="Aptos" w:cs="Aptos"/>
                <w:lang w:val="en-GB"/>
              </w:rPr>
              <w:t>number of valves m</w:t>
            </w:r>
            <w:r w:rsidRPr="65D5587F">
              <w:rPr>
                <w:rFonts w:ascii="Aptos" w:eastAsia="Aptos" w:hAnsi="Aptos" w:cs="Aptos"/>
                <w:vertAlign w:val="superscript"/>
                <w:lang w:val="en-GB"/>
              </w:rPr>
              <w:t>-1</w:t>
            </w:r>
          </w:p>
        </w:tc>
      </w:tr>
    </w:tbl>
    <w:p w14:paraId="4106AC70" w14:textId="0D2416CE" w:rsidR="009401E5" w:rsidRDefault="009401E5"/>
    <w:p w14:paraId="25695AE2" w14:textId="28718624" w:rsidR="009401E5" w:rsidRDefault="009401E5" w:rsidP="65D5587F">
      <w:pPr>
        <w:rPr>
          <w:rFonts w:ascii="Aptos" w:eastAsia="Aptos" w:hAnsi="Aptos" w:cs="Aptos"/>
          <w:color w:val="000000" w:themeColor="text1"/>
        </w:rPr>
      </w:pPr>
    </w:p>
    <w:p w14:paraId="6A8A2E22" w14:textId="00CEF2DD" w:rsidR="009401E5" w:rsidRDefault="268CE984" w:rsidP="65D5587F">
      <w:pPr>
        <w:pStyle w:val="Heading3"/>
        <w:rPr>
          <w:rFonts w:ascii="Aptos" w:eastAsia="Aptos" w:hAnsi="Aptos" w:cs="Aptos"/>
        </w:rPr>
      </w:pPr>
      <w:r w:rsidRPr="65D5587F">
        <w:rPr>
          <w:rFonts w:ascii="Aptos" w:eastAsia="Aptos" w:hAnsi="Aptos" w:cs="Aptos"/>
          <w:lang w:val="en-GB"/>
        </w:rPr>
        <w:t>Temporal coverage and resolution</w:t>
      </w:r>
    </w:p>
    <w:p w14:paraId="55B5FA8D" w14:textId="09799086" w:rsidR="009401E5" w:rsidRDefault="268CE984" w:rsidP="65D5587F">
      <w:pPr>
        <w:rPr>
          <w:rFonts w:ascii="Aptos" w:eastAsia="Aptos" w:hAnsi="Aptos" w:cs="Aptos"/>
          <w:color w:val="000000" w:themeColor="text1"/>
        </w:rPr>
      </w:pPr>
      <w:r w:rsidRPr="65D5587F">
        <w:rPr>
          <w:rFonts w:ascii="Aptos" w:eastAsia="Aptos" w:hAnsi="Aptos" w:cs="Aptos"/>
          <w:color w:val="000000" w:themeColor="text1"/>
          <w:lang w:val="en-GB"/>
        </w:rPr>
        <w:t xml:space="preserve">Data were collected in Cordillera </w:t>
      </w:r>
      <w:r w:rsidR="002B2294">
        <w:rPr>
          <w:rFonts w:ascii="Aptos" w:eastAsia="Aptos" w:hAnsi="Aptos" w:cs="Aptos"/>
          <w:color w:val="000000" w:themeColor="text1"/>
          <w:lang w:val="en-GB"/>
        </w:rPr>
        <w:t>Blanca</w:t>
      </w:r>
      <w:r w:rsidRPr="65D5587F">
        <w:rPr>
          <w:rFonts w:ascii="Aptos" w:eastAsia="Aptos" w:hAnsi="Aptos" w:cs="Aptos"/>
          <w:color w:val="000000" w:themeColor="text1"/>
          <w:lang w:val="en-GB"/>
        </w:rPr>
        <w:t xml:space="preserve"> from </w:t>
      </w:r>
      <w:r w:rsidR="002B2294" w:rsidRPr="65D5587F">
        <w:rPr>
          <w:rFonts w:ascii="Aptos" w:eastAsia="Aptos" w:hAnsi="Aptos" w:cs="Aptos"/>
          <w:color w:val="000000" w:themeColor="text1"/>
          <w:lang w:val="en-GB"/>
        </w:rPr>
        <w:t>7/05/2020 to 16/05/2020</w:t>
      </w:r>
      <w:r w:rsidRPr="65D5587F">
        <w:rPr>
          <w:rFonts w:ascii="Aptos" w:eastAsia="Aptos" w:hAnsi="Aptos" w:cs="Aptos"/>
          <w:color w:val="000000" w:themeColor="text1"/>
          <w:lang w:val="en-GB"/>
        </w:rPr>
        <w:t xml:space="preserve">. </w:t>
      </w:r>
    </w:p>
    <w:p w14:paraId="14CFA251" w14:textId="351004F3" w:rsidR="009401E5" w:rsidRDefault="009401E5" w:rsidP="65D5587F">
      <w:pPr>
        <w:rPr>
          <w:rFonts w:ascii="Aptos" w:eastAsia="Aptos" w:hAnsi="Aptos" w:cs="Aptos"/>
          <w:color w:val="000000" w:themeColor="text1"/>
        </w:rPr>
      </w:pPr>
    </w:p>
    <w:p w14:paraId="6F800341" w14:textId="005E4A86" w:rsidR="009401E5" w:rsidRDefault="268CE984" w:rsidP="65D5587F">
      <w:pPr>
        <w:pStyle w:val="Heading3"/>
        <w:rPr>
          <w:rFonts w:ascii="Aptos" w:eastAsia="Aptos" w:hAnsi="Aptos" w:cs="Aptos"/>
        </w:rPr>
      </w:pPr>
      <w:r w:rsidRPr="65D5587F">
        <w:rPr>
          <w:rFonts w:ascii="Aptos" w:eastAsia="Aptos" w:hAnsi="Aptos" w:cs="Aptos"/>
          <w:lang w:val="en-GB"/>
        </w:rPr>
        <w:lastRenderedPageBreak/>
        <w:t>Collection methods</w:t>
      </w:r>
    </w:p>
    <w:p w14:paraId="3374C926" w14:textId="26384A9D" w:rsidR="009401E5" w:rsidRDefault="268CE984" w:rsidP="65D5587F">
      <w:pPr>
        <w:spacing w:after="120" w:line="276" w:lineRule="auto"/>
        <w:rPr>
          <w:lang w:val="en-GB"/>
        </w:rPr>
      </w:pPr>
      <w:r w:rsidRPr="65D5587F">
        <w:rPr>
          <w:color w:val="000000" w:themeColor="text1"/>
          <w:lang w:val="en-GB"/>
        </w:rPr>
        <w:t xml:space="preserve">At each site, </w:t>
      </w:r>
      <w:r w:rsidR="55864C44" w:rsidRPr="65D5587F">
        <w:rPr>
          <w:color w:val="000000" w:themeColor="text1"/>
          <w:lang w:val="en-GB"/>
        </w:rPr>
        <w:t>b</w:t>
      </w:r>
      <w:r w:rsidR="55864C44" w:rsidRPr="65D5587F">
        <w:rPr>
          <w:lang w:val="en-GB"/>
        </w:rPr>
        <w:t>enthic diatoms were collected following the CEN water quality and diatom preparation sampling protocol (</w:t>
      </w:r>
      <w:proofErr w:type="spellStart"/>
      <w:r w:rsidR="55864C44" w:rsidRPr="65D5587F">
        <w:rPr>
          <w:lang w:val="en-GB"/>
        </w:rPr>
        <w:t>Comité</w:t>
      </w:r>
      <w:proofErr w:type="spellEnd"/>
      <w:r w:rsidR="55864C44" w:rsidRPr="65D5587F">
        <w:rPr>
          <w:lang w:val="en-GB"/>
        </w:rPr>
        <w:t xml:space="preserve"> </w:t>
      </w:r>
      <w:proofErr w:type="spellStart"/>
      <w:r w:rsidR="55864C44" w:rsidRPr="65D5587F">
        <w:rPr>
          <w:lang w:val="en-GB"/>
        </w:rPr>
        <w:t>Européen</w:t>
      </w:r>
      <w:proofErr w:type="spellEnd"/>
      <w:r w:rsidR="55864C44" w:rsidRPr="65D5587F">
        <w:rPr>
          <w:lang w:val="en-GB"/>
        </w:rPr>
        <w:t xml:space="preserve"> de Normalisation (CEN), 2014) as applied by Fell et al. (2018) in glacier-fed rivers of Austria. At each site, five submerged cobbles were selected randomly from riffles to represent a diversity of flow and sediment microhabitats (total n = 105 replicates). Using a sterile toothbrush, the benthic biofilm on the upper surface of each cobble was scrubbed from a 9 cm</w:t>
      </w:r>
      <w:r w:rsidR="55864C44" w:rsidRPr="65D5587F">
        <w:rPr>
          <w:vertAlign w:val="superscript"/>
          <w:lang w:val="en-GB"/>
        </w:rPr>
        <w:t>2</w:t>
      </w:r>
      <w:r w:rsidR="55864C44" w:rsidRPr="65D5587F">
        <w:rPr>
          <w:lang w:val="en-GB"/>
        </w:rPr>
        <w:t xml:space="preserve"> area using a miniature quadrat. Samples were preserved with Lugol’s iodine prior to identification.   </w:t>
      </w:r>
    </w:p>
    <w:p w14:paraId="11140DF0" w14:textId="2A51D392" w:rsidR="009401E5" w:rsidRDefault="55864C44" w:rsidP="65D5587F">
      <w:pPr>
        <w:spacing w:after="240" w:line="276" w:lineRule="auto"/>
        <w:rPr>
          <w:lang w:val="en-GB"/>
        </w:rPr>
      </w:pPr>
      <w:r w:rsidRPr="65D5587F">
        <w:rPr>
          <w:lang w:val="en-GB"/>
        </w:rPr>
        <w:t>To enable the unobstructed observation of diatom valves during microscopic identification, organic material was removed using the hot hydrogen peroxide (H</w:t>
      </w:r>
      <w:r w:rsidRPr="65D5587F">
        <w:rPr>
          <w:vertAlign w:val="subscript"/>
          <w:lang w:val="en-GB"/>
        </w:rPr>
        <w:t>2</w:t>
      </w:r>
      <w:r w:rsidRPr="65D5587F">
        <w:rPr>
          <w:lang w:val="en-GB"/>
        </w:rPr>
        <w:t>O</w:t>
      </w:r>
      <w:r w:rsidRPr="65D5587F">
        <w:rPr>
          <w:vertAlign w:val="subscript"/>
          <w:lang w:val="en-GB"/>
        </w:rPr>
        <w:t>2</w:t>
      </w:r>
      <w:r w:rsidRPr="65D5587F">
        <w:rPr>
          <w:lang w:val="en-GB"/>
        </w:rPr>
        <w:t xml:space="preserve">) method (CEN, 2014) and replicate samples mounted on individual slides.  Diatom valves were identified and counted using light microscopy at x 1000 magnification using phase-contrast illumination (Olympus CX43 </w:t>
      </w:r>
      <w:proofErr w:type="spellStart"/>
      <w:r w:rsidRPr="65D5587F">
        <w:rPr>
          <w:lang w:val="en-GB"/>
        </w:rPr>
        <w:t>miscroscope</w:t>
      </w:r>
      <w:proofErr w:type="spellEnd"/>
      <w:r w:rsidRPr="65D5587F">
        <w:rPr>
          <w:lang w:val="en-GB"/>
        </w:rPr>
        <w:t xml:space="preserve">). A minimum of 500 diatom valves were identified from each replicate following multiple taxonomic keys and papers (Kelly, 2000; Krammer and Lange-Bertalot, 2004; Kelly et al., 2005; Krammer and Lange-Bertalot, 2007b; Krammer and Lange-Bertalot, 2007a; Lange-Bertalot et al., 2017; Spaulding et al., 2021) with taxonomic nomenclature following Lange-Bertalot et al. 2017. Where less than 500 valves were present, all valves were counted. </w:t>
      </w:r>
    </w:p>
    <w:p w14:paraId="3CD2D876" w14:textId="17AF7400" w:rsidR="009401E5" w:rsidRDefault="55864C44" w:rsidP="65D5587F">
      <w:pPr>
        <w:spacing w:after="120" w:line="276" w:lineRule="auto"/>
        <w:rPr>
          <w:lang w:val="en-GB"/>
        </w:rPr>
      </w:pPr>
      <w:r w:rsidRPr="65D5587F">
        <w:rPr>
          <w:lang w:val="en-GB"/>
        </w:rPr>
        <w:t>To determine estimates of valve density, the number of valves identified within coverslip transects was used to estimate the total number present on the whole coverslip (0.5 mL) and then multiplied to m</w:t>
      </w:r>
      <w:r w:rsidRPr="65D5587F">
        <w:rPr>
          <w:vertAlign w:val="superscript"/>
          <w:lang w:val="en-GB"/>
        </w:rPr>
        <w:t>-2</w:t>
      </w:r>
      <w:r w:rsidRPr="65D5587F">
        <w:rPr>
          <w:lang w:val="en-GB"/>
        </w:rPr>
        <w:t xml:space="preserve"> based on sample volume and rock area (9 cm</w:t>
      </w:r>
      <w:r w:rsidRPr="65D5587F">
        <w:rPr>
          <w:vertAlign w:val="superscript"/>
          <w:lang w:val="en-GB"/>
        </w:rPr>
        <w:t>2</w:t>
      </w:r>
      <w:r w:rsidRPr="65D5587F">
        <w:rPr>
          <w:lang w:val="en-GB"/>
        </w:rPr>
        <w:t xml:space="preserve">) sampled (Scott et al., 2014; </w:t>
      </w:r>
      <w:bookmarkStart w:id="0" w:name="_Hlk206744021"/>
      <w:r w:rsidRPr="65D5587F">
        <w:rPr>
          <w:lang w:val="en-GB"/>
        </w:rPr>
        <w:t>Fell et al., 2018</w:t>
      </w:r>
      <w:bookmarkEnd w:id="0"/>
      <w:r w:rsidRPr="65D5587F">
        <w:rPr>
          <w:lang w:val="en-GB"/>
        </w:rPr>
        <w:t>).</w:t>
      </w:r>
    </w:p>
    <w:p w14:paraId="6BC72DE8" w14:textId="0B8EBEE2" w:rsidR="009401E5" w:rsidRDefault="009401E5" w:rsidP="65D5587F">
      <w:pPr>
        <w:spacing w:after="120" w:line="276" w:lineRule="auto"/>
        <w:jc w:val="both"/>
        <w:rPr>
          <w:lang w:val="en-GB"/>
        </w:rPr>
      </w:pPr>
    </w:p>
    <w:p w14:paraId="06030189" w14:textId="19025553" w:rsidR="009401E5" w:rsidRDefault="268CE984" w:rsidP="65D5587F">
      <w:pPr>
        <w:pStyle w:val="Heading3"/>
        <w:rPr>
          <w:rFonts w:ascii="Aptos" w:eastAsia="Aptos" w:hAnsi="Aptos" w:cs="Aptos"/>
        </w:rPr>
      </w:pPr>
      <w:r w:rsidRPr="65D5587F">
        <w:rPr>
          <w:rFonts w:ascii="Aptos" w:eastAsia="Aptos" w:hAnsi="Aptos" w:cs="Aptos"/>
          <w:lang w:val="en-GB"/>
        </w:rPr>
        <w:t>Quality control</w:t>
      </w:r>
    </w:p>
    <w:p w14:paraId="7CD4031C" w14:textId="64C85561" w:rsidR="009401E5" w:rsidRDefault="268CE984" w:rsidP="65D5587F">
      <w:pPr>
        <w:rPr>
          <w:rFonts w:ascii="Aptos" w:eastAsia="Aptos" w:hAnsi="Aptos" w:cs="Aptos"/>
          <w:color w:val="000000" w:themeColor="text1"/>
          <w:lang w:val="en-GB"/>
        </w:rPr>
      </w:pPr>
      <w:r w:rsidRPr="65D5587F">
        <w:rPr>
          <w:rFonts w:ascii="Aptos" w:eastAsia="Aptos" w:hAnsi="Aptos" w:cs="Aptos"/>
          <w:color w:val="000000" w:themeColor="text1"/>
          <w:lang w:val="en-GB"/>
        </w:rPr>
        <w:t xml:space="preserve">Within each region, all measurements were collected by the same person. </w:t>
      </w:r>
      <w:r w:rsidR="5AAB9528" w:rsidRPr="65D5587F">
        <w:rPr>
          <w:rFonts w:ascii="Aptos" w:eastAsia="Aptos" w:hAnsi="Aptos" w:cs="Aptos"/>
          <w:color w:val="000000" w:themeColor="text1"/>
          <w:lang w:val="en-GB"/>
        </w:rPr>
        <w:t xml:space="preserve">To ensure accurate and consistent </w:t>
      </w:r>
      <w:r w:rsidR="47FF40D3" w:rsidRPr="65D5587F">
        <w:rPr>
          <w:rFonts w:ascii="Aptos" w:eastAsia="Aptos" w:hAnsi="Aptos" w:cs="Aptos"/>
          <w:color w:val="000000" w:themeColor="text1"/>
          <w:lang w:val="en-GB"/>
        </w:rPr>
        <w:t>diatom identification between researchers</w:t>
      </w:r>
      <w:r w:rsidR="5897D8B4" w:rsidRPr="65D5587F">
        <w:rPr>
          <w:rFonts w:ascii="Aptos" w:eastAsia="Aptos" w:hAnsi="Aptos" w:cs="Aptos"/>
          <w:color w:val="000000" w:themeColor="text1"/>
          <w:lang w:val="en-GB"/>
        </w:rPr>
        <w:t xml:space="preserve"> (NRK and SCF)</w:t>
      </w:r>
      <w:r w:rsidR="47FF40D3" w:rsidRPr="65D5587F">
        <w:rPr>
          <w:rFonts w:ascii="Aptos" w:eastAsia="Aptos" w:hAnsi="Aptos" w:cs="Aptos"/>
          <w:color w:val="000000" w:themeColor="text1"/>
          <w:lang w:val="en-GB"/>
        </w:rPr>
        <w:t xml:space="preserve">, diatoms were </w:t>
      </w:r>
      <w:r w:rsidR="34E19365" w:rsidRPr="65D5587F">
        <w:rPr>
          <w:rFonts w:ascii="Aptos" w:eastAsia="Aptos" w:hAnsi="Aptos" w:cs="Aptos"/>
          <w:color w:val="000000" w:themeColor="text1"/>
          <w:lang w:val="en-GB"/>
        </w:rPr>
        <w:t>photographed,</w:t>
      </w:r>
      <w:r w:rsidR="47FF40D3" w:rsidRPr="65D5587F">
        <w:rPr>
          <w:rFonts w:ascii="Aptos" w:eastAsia="Aptos" w:hAnsi="Aptos" w:cs="Aptos"/>
          <w:color w:val="000000" w:themeColor="text1"/>
          <w:lang w:val="en-GB"/>
        </w:rPr>
        <w:t xml:space="preserve"> and identification </w:t>
      </w:r>
      <w:r w:rsidR="4955879C" w:rsidRPr="65D5587F">
        <w:rPr>
          <w:rFonts w:ascii="Aptos" w:eastAsia="Aptos" w:hAnsi="Aptos" w:cs="Aptos"/>
          <w:color w:val="000000" w:themeColor="text1"/>
          <w:lang w:val="en-GB"/>
        </w:rPr>
        <w:t xml:space="preserve">was </w:t>
      </w:r>
      <w:r w:rsidR="47FF40D3" w:rsidRPr="65D5587F">
        <w:rPr>
          <w:rFonts w:ascii="Aptos" w:eastAsia="Aptos" w:hAnsi="Aptos" w:cs="Aptos"/>
          <w:color w:val="000000" w:themeColor="text1"/>
          <w:lang w:val="en-GB"/>
        </w:rPr>
        <w:t>compared between researc</w:t>
      </w:r>
      <w:r w:rsidR="1E2E7CDB" w:rsidRPr="65D5587F">
        <w:rPr>
          <w:rFonts w:ascii="Aptos" w:eastAsia="Aptos" w:hAnsi="Aptos" w:cs="Aptos"/>
          <w:color w:val="000000" w:themeColor="text1"/>
          <w:lang w:val="en-GB"/>
        </w:rPr>
        <w:t xml:space="preserve">hers </w:t>
      </w:r>
      <w:r w:rsidR="6543689A" w:rsidRPr="65D5587F">
        <w:rPr>
          <w:rFonts w:ascii="Aptos" w:eastAsia="Aptos" w:hAnsi="Aptos" w:cs="Aptos"/>
          <w:color w:val="000000" w:themeColor="text1"/>
          <w:lang w:val="en-GB"/>
        </w:rPr>
        <w:t xml:space="preserve">(NRK and SCF) </w:t>
      </w:r>
      <w:r w:rsidR="1E2E7CDB" w:rsidRPr="65D5587F">
        <w:rPr>
          <w:rFonts w:ascii="Aptos" w:eastAsia="Aptos" w:hAnsi="Aptos" w:cs="Aptos"/>
          <w:color w:val="000000" w:themeColor="text1"/>
          <w:lang w:val="en-GB"/>
        </w:rPr>
        <w:t>and then confirmed by a third party</w:t>
      </w:r>
      <w:r w:rsidR="05487950" w:rsidRPr="65D5587F">
        <w:rPr>
          <w:rFonts w:ascii="Aptos" w:eastAsia="Aptos" w:hAnsi="Aptos" w:cs="Aptos"/>
          <w:color w:val="000000" w:themeColor="text1"/>
          <w:lang w:val="en-GB"/>
        </w:rPr>
        <w:t xml:space="preserve"> (MK). </w:t>
      </w:r>
    </w:p>
    <w:p w14:paraId="7B721E6A" w14:textId="77777777" w:rsidR="00371C52" w:rsidRDefault="00371C52" w:rsidP="65D5587F">
      <w:pPr>
        <w:rPr>
          <w:rFonts w:ascii="Aptos" w:eastAsia="Aptos" w:hAnsi="Aptos" w:cs="Aptos"/>
          <w:color w:val="000000" w:themeColor="text1"/>
          <w:lang w:val="en-GB"/>
        </w:rPr>
      </w:pPr>
    </w:p>
    <w:p w14:paraId="65365A9E" w14:textId="77777777" w:rsidR="00371C52" w:rsidRDefault="00371C52" w:rsidP="00371C52">
      <w:pPr>
        <w:pStyle w:val="Heading3"/>
        <w:rPr>
          <w:rFonts w:ascii="Aptos" w:eastAsia="Aptos" w:hAnsi="Aptos" w:cs="Aptos"/>
        </w:rPr>
      </w:pPr>
      <w:r>
        <w:rPr>
          <w:rFonts w:ascii="Aptos" w:eastAsia="Aptos" w:hAnsi="Aptos" w:cs="Aptos"/>
          <w:lang w:val="en-GB"/>
        </w:rPr>
        <w:t>References</w:t>
      </w:r>
    </w:p>
    <w:p w14:paraId="561A1640" w14:textId="77777777" w:rsidR="00017C21" w:rsidRPr="00AA1A78" w:rsidRDefault="00017C21" w:rsidP="00017C21">
      <w:pPr>
        <w:pStyle w:val="Bibliography"/>
        <w:rPr>
          <w:sz w:val="22"/>
          <w:szCs w:val="18"/>
        </w:rPr>
      </w:pPr>
      <w:r w:rsidRPr="00AA1A78">
        <w:rPr>
          <w:sz w:val="22"/>
          <w:szCs w:val="18"/>
        </w:rPr>
        <w:t xml:space="preserve">Fell, S., </w:t>
      </w:r>
      <w:proofErr w:type="spellStart"/>
      <w:r w:rsidRPr="00AA1A78">
        <w:rPr>
          <w:sz w:val="22"/>
          <w:szCs w:val="18"/>
        </w:rPr>
        <w:t>Carrivick</w:t>
      </w:r>
      <w:proofErr w:type="spellEnd"/>
      <w:r w:rsidRPr="00AA1A78">
        <w:rPr>
          <w:sz w:val="22"/>
          <w:szCs w:val="18"/>
        </w:rPr>
        <w:t xml:space="preserve">, J., Kelly, M., </w:t>
      </w:r>
      <w:proofErr w:type="spellStart"/>
      <w:r w:rsidRPr="00AA1A78">
        <w:rPr>
          <w:sz w:val="22"/>
          <w:szCs w:val="18"/>
        </w:rPr>
        <w:t>Füreder</w:t>
      </w:r>
      <w:proofErr w:type="spellEnd"/>
      <w:r w:rsidRPr="00AA1A78">
        <w:rPr>
          <w:sz w:val="22"/>
          <w:szCs w:val="18"/>
        </w:rPr>
        <w:t xml:space="preserve">, L. and Brown, L. 2018. Declining glacier cover threatens the biodiversity of alpine river diatom assemblages. </w:t>
      </w:r>
      <w:r w:rsidRPr="00AA1A78">
        <w:rPr>
          <w:i/>
          <w:iCs/>
          <w:sz w:val="22"/>
          <w:szCs w:val="18"/>
        </w:rPr>
        <w:t>Global Change Biology</w:t>
      </w:r>
      <w:r w:rsidRPr="00AA1A78">
        <w:rPr>
          <w:sz w:val="22"/>
          <w:szCs w:val="18"/>
        </w:rPr>
        <w:t xml:space="preserve">. </w:t>
      </w:r>
      <w:r w:rsidRPr="00AA1A78">
        <w:rPr>
          <w:b/>
          <w:bCs/>
          <w:sz w:val="22"/>
          <w:szCs w:val="18"/>
        </w:rPr>
        <w:t>24</w:t>
      </w:r>
      <w:r w:rsidRPr="00AA1A78">
        <w:rPr>
          <w:sz w:val="22"/>
          <w:szCs w:val="18"/>
        </w:rPr>
        <w:t>, pp.5828–5840.</w:t>
      </w:r>
    </w:p>
    <w:p w14:paraId="3D61ED1F" w14:textId="77777777" w:rsidR="00017C21" w:rsidRPr="00AA1A78" w:rsidRDefault="00017C21" w:rsidP="00017C21">
      <w:pPr>
        <w:pStyle w:val="Bibliography"/>
        <w:rPr>
          <w:sz w:val="22"/>
          <w:szCs w:val="18"/>
        </w:rPr>
      </w:pPr>
      <w:r w:rsidRPr="00AA1A78">
        <w:rPr>
          <w:sz w:val="22"/>
          <w:szCs w:val="18"/>
        </w:rPr>
        <w:t xml:space="preserve">Kelly, M. 2000. </w:t>
      </w:r>
      <w:r w:rsidRPr="00AA1A78">
        <w:rPr>
          <w:i/>
          <w:iCs/>
          <w:sz w:val="22"/>
          <w:szCs w:val="18"/>
        </w:rPr>
        <w:t>Identification of Common Benthic Diatoms in Rivers</w:t>
      </w:r>
      <w:r w:rsidRPr="00AA1A78">
        <w:rPr>
          <w:sz w:val="22"/>
          <w:szCs w:val="18"/>
        </w:rPr>
        <w:t>. Telford, UK: Field Studies Council.</w:t>
      </w:r>
    </w:p>
    <w:p w14:paraId="09075D3A" w14:textId="77777777" w:rsidR="00017C21" w:rsidRPr="00AA1A78" w:rsidRDefault="00017C21" w:rsidP="00017C21">
      <w:pPr>
        <w:pStyle w:val="Bibliography"/>
        <w:rPr>
          <w:sz w:val="22"/>
          <w:szCs w:val="18"/>
        </w:rPr>
      </w:pPr>
      <w:r w:rsidRPr="00AA1A78">
        <w:rPr>
          <w:sz w:val="22"/>
          <w:szCs w:val="18"/>
        </w:rPr>
        <w:lastRenderedPageBreak/>
        <w:t xml:space="preserve">Kelly, M.G., Bennion, H., Cox, E.J., Goldsmith, B., Jamieson, J., </w:t>
      </w:r>
      <w:proofErr w:type="spellStart"/>
      <w:r w:rsidRPr="00AA1A78">
        <w:rPr>
          <w:sz w:val="22"/>
          <w:szCs w:val="18"/>
        </w:rPr>
        <w:t>Juggins</w:t>
      </w:r>
      <w:proofErr w:type="spellEnd"/>
      <w:r w:rsidRPr="00AA1A78">
        <w:rPr>
          <w:sz w:val="22"/>
          <w:szCs w:val="18"/>
        </w:rPr>
        <w:t xml:space="preserve">, S., Mann, D.G. and Telford, R.J. 2005. </w:t>
      </w:r>
      <w:r w:rsidRPr="00AA1A78">
        <w:rPr>
          <w:i/>
          <w:iCs/>
          <w:sz w:val="22"/>
          <w:szCs w:val="18"/>
        </w:rPr>
        <w:t>Common Freshwater Diatoms of Britain and Ireland - An Interactive Identification Key</w:t>
      </w:r>
      <w:r w:rsidRPr="00AA1A78">
        <w:rPr>
          <w:sz w:val="22"/>
          <w:szCs w:val="18"/>
        </w:rPr>
        <w:t>. Environment Agency, Bristol.</w:t>
      </w:r>
    </w:p>
    <w:p w14:paraId="01817AB4" w14:textId="77777777" w:rsidR="00017C21" w:rsidRPr="00AA1A78" w:rsidRDefault="00017C21" w:rsidP="00017C21">
      <w:pPr>
        <w:pStyle w:val="Bibliography"/>
        <w:rPr>
          <w:sz w:val="22"/>
          <w:szCs w:val="18"/>
        </w:rPr>
      </w:pPr>
      <w:r w:rsidRPr="00AA1A78">
        <w:rPr>
          <w:sz w:val="22"/>
          <w:szCs w:val="18"/>
        </w:rPr>
        <w:t xml:space="preserve">Krammer, K. and Lange-Bertalot, H. 2007a. Bacillariophyceae: 2. Teil: Bacillariaceae, </w:t>
      </w:r>
      <w:proofErr w:type="spellStart"/>
      <w:r w:rsidRPr="00AA1A78">
        <w:rPr>
          <w:sz w:val="22"/>
          <w:szCs w:val="18"/>
        </w:rPr>
        <w:t>Epithemiaceae</w:t>
      </w:r>
      <w:proofErr w:type="spellEnd"/>
      <w:r w:rsidRPr="00AA1A78">
        <w:rPr>
          <w:sz w:val="22"/>
          <w:szCs w:val="18"/>
        </w:rPr>
        <w:t xml:space="preserve">, </w:t>
      </w:r>
      <w:proofErr w:type="spellStart"/>
      <w:r w:rsidRPr="00AA1A78">
        <w:rPr>
          <w:sz w:val="22"/>
          <w:szCs w:val="18"/>
        </w:rPr>
        <w:t>Surirellaceae</w:t>
      </w:r>
      <w:proofErr w:type="spellEnd"/>
      <w:r w:rsidRPr="00AA1A78">
        <w:rPr>
          <w:sz w:val="22"/>
          <w:szCs w:val="18"/>
        </w:rPr>
        <w:t xml:space="preserve"> </w:t>
      </w:r>
      <w:r w:rsidRPr="00AA1A78">
        <w:rPr>
          <w:i/>
          <w:iCs/>
          <w:sz w:val="22"/>
          <w:szCs w:val="18"/>
        </w:rPr>
        <w:t>In</w:t>
      </w:r>
      <w:r w:rsidRPr="00AA1A78">
        <w:rPr>
          <w:sz w:val="22"/>
          <w:szCs w:val="18"/>
        </w:rPr>
        <w:t xml:space="preserve">: </w:t>
      </w:r>
      <w:r w:rsidRPr="00AA1A78">
        <w:rPr>
          <w:i/>
          <w:iCs/>
          <w:sz w:val="22"/>
          <w:szCs w:val="18"/>
        </w:rPr>
        <w:t xml:space="preserve">H. Ettl, J. Gerloff, H. </w:t>
      </w:r>
      <w:proofErr w:type="spellStart"/>
      <w:r w:rsidRPr="00AA1A78">
        <w:rPr>
          <w:i/>
          <w:iCs/>
          <w:sz w:val="22"/>
          <w:szCs w:val="18"/>
        </w:rPr>
        <w:t>Heynig</w:t>
      </w:r>
      <w:proofErr w:type="spellEnd"/>
      <w:r w:rsidRPr="00AA1A78">
        <w:rPr>
          <w:i/>
          <w:iCs/>
          <w:sz w:val="22"/>
          <w:szCs w:val="18"/>
        </w:rPr>
        <w:t xml:space="preserve">, D. Mollenhauer (Eds.). </w:t>
      </w:r>
      <w:proofErr w:type="spellStart"/>
      <w:r w:rsidRPr="00AA1A78">
        <w:rPr>
          <w:i/>
          <w:iCs/>
          <w:sz w:val="22"/>
          <w:szCs w:val="18"/>
        </w:rPr>
        <w:t>Sü</w:t>
      </w:r>
      <w:proofErr w:type="spellEnd"/>
      <w:r w:rsidRPr="00AA1A78">
        <w:rPr>
          <w:i/>
          <w:iCs/>
          <w:sz w:val="22"/>
          <w:szCs w:val="18"/>
        </w:rPr>
        <w:t>βwasserflora von Mitteleuropa.</w:t>
      </w:r>
      <w:r w:rsidRPr="00AA1A78">
        <w:rPr>
          <w:sz w:val="22"/>
          <w:szCs w:val="18"/>
        </w:rPr>
        <w:t xml:space="preserve"> Munchen, Germany: Elsevier.</w:t>
      </w:r>
    </w:p>
    <w:p w14:paraId="5F4CEBD5" w14:textId="77777777" w:rsidR="00017C21" w:rsidRPr="00AA1A78" w:rsidRDefault="00017C21" w:rsidP="00017C21">
      <w:pPr>
        <w:pStyle w:val="Bibliography"/>
        <w:rPr>
          <w:sz w:val="22"/>
          <w:szCs w:val="18"/>
        </w:rPr>
      </w:pPr>
      <w:r w:rsidRPr="00AA1A78">
        <w:rPr>
          <w:sz w:val="22"/>
          <w:szCs w:val="18"/>
        </w:rPr>
        <w:t xml:space="preserve">Krammer, K. and Lange-Bertalot, H. 2004. Bacillariophyceae: 4. Teil: </w:t>
      </w:r>
      <w:proofErr w:type="spellStart"/>
      <w:r w:rsidRPr="00AA1A78">
        <w:rPr>
          <w:sz w:val="22"/>
          <w:szCs w:val="18"/>
        </w:rPr>
        <w:t>Achnanthaceae</w:t>
      </w:r>
      <w:proofErr w:type="spellEnd"/>
      <w:r w:rsidRPr="00AA1A78">
        <w:rPr>
          <w:sz w:val="22"/>
          <w:szCs w:val="18"/>
        </w:rPr>
        <w:t xml:space="preserve">, </w:t>
      </w:r>
      <w:proofErr w:type="spellStart"/>
      <w:r w:rsidRPr="00AA1A78">
        <w:rPr>
          <w:sz w:val="22"/>
          <w:szCs w:val="18"/>
        </w:rPr>
        <w:t>Kritische</w:t>
      </w:r>
      <w:proofErr w:type="spellEnd"/>
      <w:r w:rsidRPr="00AA1A78">
        <w:rPr>
          <w:sz w:val="22"/>
          <w:szCs w:val="18"/>
        </w:rPr>
        <w:t xml:space="preserve"> </w:t>
      </w:r>
      <w:proofErr w:type="spellStart"/>
      <w:r w:rsidRPr="00AA1A78">
        <w:rPr>
          <w:sz w:val="22"/>
          <w:szCs w:val="18"/>
        </w:rPr>
        <w:t>Ergänzungen</w:t>
      </w:r>
      <w:proofErr w:type="spellEnd"/>
      <w:r w:rsidRPr="00AA1A78">
        <w:rPr>
          <w:sz w:val="22"/>
          <w:szCs w:val="18"/>
        </w:rPr>
        <w:t xml:space="preserve"> </w:t>
      </w:r>
      <w:proofErr w:type="spellStart"/>
      <w:r w:rsidRPr="00AA1A78">
        <w:rPr>
          <w:sz w:val="22"/>
          <w:szCs w:val="18"/>
        </w:rPr>
        <w:t>zu</w:t>
      </w:r>
      <w:proofErr w:type="spellEnd"/>
      <w:r w:rsidRPr="00AA1A78">
        <w:rPr>
          <w:sz w:val="22"/>
          <w:szCs w:val="18"/>
        </w:rPr>
        <w:t xml:space="preserve"> </w:t>
      </w:r>
      <w:proofErr w:type="spellStart"/>
      <w:r w:rsidRPr="00AA1A78">
        <w:rPr>
          <w:sz w:val="22"/>
          <w:szCs w:val="18"/>
        </w:rPr>
        <w:t>Achnanthes</w:t>
      </w:r>
      <w:proofErr w:type="spellEnd"/>
      <w:r w:rsidRPr="00AA1A78">
        <w:rPr>
          <w:sz w:val="22"/>
          <w:szCs w:val="18"/>
        </w:rPr>
        <w:t xml:space="preserve"> </w:t>
      </w:r>
      <w:proofErr w:type="spellStart"/>
      <w:r w:rsidRPr="00AA1A78">
        <w:rPr>
          <w:sz w:val="22"/>
          <w:szCs w:val="18"/>
        </w:rPr>
        <w:t>s.l.</w:t>
      </w:r>
      <w:proofErr w:type="spellEnd"/>
      <w:r w:rsidRPr="00AA1A78">
        <w:rPr>
          <w:sz w:val="22"/>
          <w:szCs w:val="18"/>
        </w:rPr>
        <w:t xml:space="preserve">, </w:t>
      </w:r>
      <w:proofErr w:type="spellStart"/>
      <w:r w:rsidRPr="00AA1A78">
        <w:rPr>
          <w:sz w:val="22"/>
          <w:szCs w:val="18"/>
        </w:rPr>
        <w:t>Navicula</w:t>
      </w:r>
      <w:proofErr w:type="spellEnd"/>
      <w:r w:rsidRPr="00AA1A78">
        <w:rPr>
          <w:sz w:val="22"/>
          <w:szCs w:val="18"/>
        </w:rPr>
        <w:t xml:space="preserve"> </w:t>
      </w:r>
      <w:proofErr w:type="spellStart"/>
      <w:r w:rsidRPr="00AA1A78">
        <w:rPr>
          <w:sz w:val="22"/>
          <w:szCs w:val="18"/>
        </w:rPr>
        <w:t>s.str</w:t>
      </w:r>
      <w:proofErr w:type="spellEnd"/>
      <w:r w:rsidRPr="00AA1A78">
        <w:rPr>
          <w:sz w:val="22"/>
          <w:szCs w:val="18"/>
        </w:rPr>
        <w:t xml:space="preserve"> </w:t>
      </w:r>
      <w:r w:rsidRPr="00AA1A78">
        <w:rPr>
          <w:i/>
          <w:iCs/>
          <w:sz w:val="22"/>
          <w:szCs w:val="18"/>
        </w:rPr>
        <w:t>In</w:t>
      </w:r>
      <w:r w:rsidRPr="00AA1A78">
        <w:rPr>
          <w:sz w:val="22"/>
          <w:szCs w:val="18"/>
        </w:rPr>
        <w:t xml:space="preserve">: </w:t>
      </w:r>
      <w:r w:rsidRPr="00AA1A78">
        <w:rPr>
          <w:i/>
          <w:iCs/>
          <w:sz w:val="22"/>
          <w:szCs w:val="18"/>
        </w:rPr>
        <w:t xml:space="preserve">H. Ettl, G. Gärtner, H. </w:t>
      </w:r>
      <w:proofErr w:type="spellStart"/>
      <w:r w:rsidRPr="00AA1A78">
        <w:rPr>
          <w:i/>
          <w:iCs/>
          <w:sz w:val="22"/>
          <w:szCs w:val="18"/>
        </w:rPr>
        <w:t>Heynig</w:t>
      </w:r>
      <w:proofErr w:type="spellEnd"/>
      <w:r w:rsidRPr="00AA1A78">
        <w:rPr>
          <w:i/>
          <w:iCs/>
          <w:sz w:val="22"/>
          <w:szCs w:val="18"/>
        </w:rPr>
        <w:t xml:space="preserve">, D. Mollenhauer (Eds.). </w:t>
      </w:r>
      <w:proofErr w:type="spellStart"/>
      <w:r w:rsidRPr="00AA1A78">
        <w:rPr>
          <w:i/>
          <w:iCs/>
          <w:sz w:val="22"/>
          <w:szCs w:val="18"/>
        </w:rPr>
        <w:t>Sü</w:t>
      </w:r>
      <w:proofErr w:type="spellEnd"/>
      <w:r w:rsidRPr="00AA1A78">
        <w:rPr>
          <w:i/>
          <w:iCs/>
          <w:sz w:val="22"/>
          <w:szCs w:val="18"/>
        </w:rPr>
        <w:t>βwasserflora von Mitteleuropa</w:t>
      </w:r>
      <w:r w:rsidRPr="00AA1A78">
        <w:rPr>
          <w:sz w:val="22"/>
          <w:szCs w:val="18"/>
        </w:rPr>
        <w:t>. Muchen, Germany: Elsevier.</w:t>
      </w:r>
    </w:p>
    <w:p w14:paraId="25003D2C" w14:textId="77777777" w:rsidR="00017C21" w:rsidRPr="00AA1A78" w:rsidRDefault="00017C21" w:rsidP="00017C21">
      <w:pPr>
        <w:pStyle w:val="Bibliography"/>
        <w:rPr>
          <w:sz w:val="22"/>
          <w:szCs w:val="18"/>
        </w:rPr>
      </w:pPr>
      <w:r w:rsidRPr="00AA1A78">
        <w:rPr>
          <w:sz w:val="22"/>
          <w:szCs w:val="18"/>
        </w:rPr>
        <w:t xml:space="preserve">Krammer, K. and Lange-Bertalot, H. 2007b. </w:t>
      </w:r>
      <w:proofErr w:type="spellStart"/>
      <w:r w:rsidRPr="00AA1A78">
        <w:rPr>
          <w:sz w:val="22"/>
          <w:szCs w:val="18"/>
        </w:rPr>
        <w:t>Sü</w:t>
      </w:r>
      <w:proofErr w:type="spellEnd"/>
      <w:r w:rsidRPr="00AA1A78">
        <w:rPr>
          <w:sz w:val="22"/>
          <w:szCs w:val="18"/>
        </w:rPr>
        <w:t xml:space="preserve">βwasserflora von Mitteleuropa. (Ed.), Bacillariophyceae: 1. Teil: </w:t>
      </w:r>
      <w:proofErr w:type="spellStart"/>
      <w:r w:rsidRPr="00AA1A78">
        <w:rPr>
          <w:sz w:val="22"/>
          <w:szCs w:val="18"/>
        </w:rPr>
        <w:t>Naviculaceae</w:t>
      </w:r>
      <w:proofErr w:type="spellEnd"/>
      <w:r w:rsidRPr="00AA1A78">
        <w:rPr>
          <w:sz w:val="22"/>
          <w:szCs w:val="18"/>
        </w:rPr>
        <w:t xml:space="preserve"> </w:t>
      </w:r>
      <w:r w:rsidRPr="00AA1A78">
        <w:rPr>
          <w:i/>
          <w:iCs/>
          <w:sz w:val="22"/>
          <w:szCs w:val="18"/>
        </w:rPr>
        <w:t>In</w:t>
      </w:r>
      <w:r w:rsidRPr="00AA1A78">
        <w:rPr>
          <w:sz w:val="22"/>
          <w:szCs w:val="18"/>
        </w:rPr>
        <w:t xml:space="preserve">: </w:t>
      </w:r>
      <w:r w:rsidRPr="00AA1A78">
        <w:rPr>
          <w:i/>
          <w:iCs/>
          <w:sz w:val="22"/>
          <w:szCs w:val="18"/>
        </w:rPr>
        <w:t xml:space="preserve">H. Ettl, J. Gerloff, H. </w:t>
      </w:r>
      <w:proofErr w:type="spellStart"/>
      <w:r w:rsidRPr="00AA1A78">
        <w:rPr>
          <w:i/>
          <w:iCs/>
          <w:sz w:val="22"/>
          <w:szCs w:val="18"/>
        </w:rPr>
        <w:t>Heynig</w:t>
      </w:r>
      <w:proofErr w:type="spellEnd"/>
      <w:r w:rsidRPr="00AA1A78">
        <w:rPr>
          <w:i/>
          <w:iCs/>
          <w:sz w:val="22"/>
          <w:szCs w:val="18"/>
        </w:rPr>
        <w:t xml:space="preserve">, D. Mollenhauer (Eds.). </w:t>
      </w:r>
      <w:proofErr w:type="spellStart"/>
      <w:r w:rsidRPr="00AA1A78">
        <w:rPr>
          <w:i/>
          <w:iCs/>
          <w:sz w:val="22"/>
          <w:szCs w:val="18"/>
        </w:rPr>
        <w:t>Sü</w:t>
      </w:r>
      <w:proofErr w:type="spellEnd"/>
      <w:r w:rsidRPr="00AA1A78">
        <w:rPr>
          <w:i/>
          <w:iCs/>
          <w:sz w:val="22"/>
          <w:szCs w:val="18"/>
        </w:rPr>
        <w:t>βwasserflora von Mitteleuropa.</w:t>
      </w:r>
      <w:r w:rsidRPr="00AA1A78">
        <w:rPr>
          <w:sz w:val="22"/>
          <w:szCs w:val="18"/>
        </w:rPr>
        <w:t xml:space="preserve"> Munchen, Germany: Elsevier.</w:t>
      </w:r>
    </w:p>
    <w:p w14:paraId="0677A8DE" w14:textId="77777777" w:rsidR="00017C21" w:rsidRPr="00AA1A78" w:rsidRDefault="00017C21" w:rsidP="00017C21">
      <w:pPr>
        <w:pStyle w:val="Bibliography"/>
        <w:rPr>
          <w:sz w:val="22"/>
          <w:szCs w:val="18"/>
        </w:rPr>
      </w:pPr>
      <w:r w:rsidRPr="00AA1A78">
        <w:rPr>
          <w:sz w:val="22"/>
          <w:szCs w:val="18"/>
        </w:rPr>
        <w:t xml:space="preserve">Lange-Bertalot, H., </w:t>
      </w:r>
      <w:proofErr w:type="spellStart"/>
      <w:r w:rsidRPr="00AA1A78">
        <w:rPr>
          <w:sz w:val="22"/>
          <w:szCs w:val="18"/>
        </w:rPr>
        <w:t>Cantonati</w:t>
      </w:r>
      <w:proofErr w:type="spellEnd"/>
      <w:r w:rsidRPr="00AA1A78">
        <w:rPr>
          <w:sz w:val="22"/>
          <w:szCs w:val="18"/>
        </w:rPr>
        <w:t xml:space="preserve">, M., Kelly, M.G., Hofmann, G. and </w:t>
      </w:r>
      <w:proofErr w:type="spellStart"/>
      <w:r w:rsidRPr="00AA1A78">
        <w:rPr>
          <w:sz w:val="22"/>
          <w:szCs w:val="18"/>
        </w:rPr>
        <w:t>Werum</w:t>
      </w:r>
      <w:proofErr w:type="spellEnd"/>
      <w:r w:rsidRPr="00AA1A78">
        <w:rPr>
          <w:sz w:val="22"/>
          <w:szCs w:val="18"/>
        </w:rPr>
        <w:t xml:space="preserve">, M. 2017. </w:t>
      </w:r>
      <w:r w:rsidRPr="00AA1A78">
        <w:rPr>
          <w:i/>
          <w:iCs/>
          <w:sz w:val="22"/>
          <w:szCs w:val="18"/>
        </w:rPr>
        <w:t>Freshwater Benthic Diatoms of Central Europe: Over 800 common species used in ecological assessment. English edition with updated taxonomy and added species</w:t>
      </w:r>
      <w:r w:rsidRPr="00AA1A78">
        <w:rPr>
          <w:sz w:val="22"/>
          <w:szCs w:val="18"/>
        </w:rPr>
        <w:t>. Schmitten-</w:t>
      </w:r>
      <w:proofErr w:type="spellStart"/>
      <w:r w:rsidRPr="00AA1A78">
        <w:rPr>
          <w:sz w:val="22"/>
          <w:szCs w:val="18"/>
        </w:rPr>
        <w:t>Oberreifenberg</w:t>
      </w:r>
      <w:proofErr w:type="spellEnd"/>
      <w:r w:rsidRPr="00AA1A78">
        <w:rPr>
          <w:sz w:val="22"/>
          <w:szCs w:val="18"/>
        </w:rPr>
        <w:t xml:space="preserve">: </w:t>
      </w:r>
      <w:proofErr w:type="spellStart"/>
      <w:r w:rsidRPr="00AA1A78">
        <w:rPr>
          <w:sz w:val="22"/>
          <w:szCs w:val="18"/>
        </w:rPr>
        <w:t>Koeltz</w:t>
      </w:r>
      <w:proofErr w:type="spellEnd"/>
      <w:r w:rsidRPr="00AA1A78">
        <w:rPr>
          <w:sz w:val="22"/>
          <w:szCs w:val="18"/>
        </w:rPr>
        <w:t xml:space="preserve"> Botanical Books.</w:t>
      </w:r>
    </w:p>
    <w:p w14:paraId="1C0EC652" w14:textId="77777777" w:rsidR="00017C21" w:rsidRPr="00AA1A78" w:rsidRDefault="00017C21" w:rsidP="00017C21">
      <w:pPr>
        <w:pStyle w:val="Bibliography"/>
        <w:rPr>
          <w:sz w:val="22"/>
          <w:szCs w:val="18"/>
        </w:rPr>
      </w:pPr>
      <w:r w:rsidRPr="00AA1A78">
        <w:rPr>
          <w:sz w:val="22"/>
          <w:szCs w:val="18"/>
        </w:rPr>
        <w:t xml:space="preserve">Scott, K.R., Morgan, R.M., Jones, V.J. and Cameron, N.G. 2014. The transferability of diatoms to clothing and the methods appropriate for their collection and analysis in forensic geoscience. </w:t>
      </w:r>
      <w:r w:rsidRPr="00AA1A78">
        <w:rPr>
          <w:i/>
          <w:iCs/>
          <w:sz w:val="22"/>
          <w:szCs w:val="18"/>
        </w:rPr>
        <w:t>Forensic Science International</w:t>
      </w:r>
      <w:r w:rsidRPr="00AA1A78">
        <w:rPr>
          <w:sz w:val="22"/>
          <w:szCs w:val="18"/>
        </w:rPr>
        <w:t xml:space="preserve">. </w:t>
      </w:r>
      <w:r w:rsidRPr="00AA1A78">
        <w:rPr>
          <w:b/>
          <w:bCs/>
          <w:sz w:val="22"/>
          <w:szCs w:val="18"/>
        </w:rPr>
        <w:t>241</w:t>
      </w:r>
      <w:r w:rsidRPr="00AA1A78">
        <w:rPr>
          <w:sz w:val="22"/>
          <w:szCs w:val="18"/>
        </w:rPr>
        <w:t>, pp.127–137.</w:t>
      </w:r>
    </w:p>
    <w:p w14:paraId="38065790" w14:textId="77777777" w:rsidR="00017C21" w:rsidRPr="00AA1A78" w:rsidRDefault="00017C21" w:rsidP="00017C21">
      <w:pPr>
        <w:pStyle w:val="Bibliography"/>
        <w:rPr>
          <w:sz w:val="22"/>
          <w:szCs w:val="18"/>
        </w:rPr>
      </w:pPr>
      <w:r w:rsidRPr="00AA1A78">
        <w:rPr>
          <w:sz w:val="22"/>
          <w:szCs w:val="18"/>
        </w:rPr>
        <w:t xml:space="preserve">Spaulding, S.A., Potapova, M.G., Bishop, I.W., Lee, S.S., </w:t>
      </w:r>
      <w:proofErr w:type="spellStart"/>
      <w:r w:rsidRPr="00AA1A78">
        <w:rPr>
          <w:sz w:val="22"/>
          <w:szCs w:val="18"/>
        </w:rPr>
        <w:t>Gasperak</w:t>
      </w:r>
      <w:proofErr w:type="spellEnd"/>
      <w:r w:rsidRPr="00AA1A78">
        <w:rPr>
          <w:sz w:val="22"/>
          <w:szCs w:val="18"/>
        </w:rPr>
        <w:t xml:space="preserve">, T.S., </w:t>
      </w:r>
      <w:proofErr w:type="spellStart"/>
      <w:r w:rsidRPr="00AA1A78">
        <w:rPr>
          <w:sz w:val="22"/>
          <w:szCs w:val="18"/>
        </w:rPr>
        <w:t>Jovanoska</w:t>
      </w:r>
      <w:proofErr w:type="spellEnd"/>
      <w:r w:rsidRPr="00AA1A78">
        <w:rPr>
          <w:sz w:val="22"/>
          <w:szCs w:val="18"/>
        </w:rPr>
        <w:t xml:space="preserve">, E., Furey, P.C. and Edlund, M.B. 2021. Diatoms.org: supporting taxonomists, connecting communities. </w:t>
      </w:r>
      <w:r w:rsidRPr="00AA1A78">
        <w:rPr>
          <w:i/>
          <w:iCs/>
          <w:sz w:val="22"/>
          <w:szCs w:val="18"/>
        </w:rPr>
        <w:t>Diatom Research</w:t>
      </w:r>
      <w:r w:rsidRPr="00AA1A78">
        <w:rPr>
          <w:sz w:val="22"/>
          <w:szCs w:val="18"/>
        </w:rPr>
        <w:t xml:space="preserve">. </w:t>
      </w:r>
      <w:r w:rsidRPr="00AA1A78">
        <w:rPr>
          <w:b/>
          <w:bCs/>
          <w:sz w:val="22"/>
          <w:szCs w:val="18"/>
        </w:rPr>
        <w:t>36</w:t>
      </w:r>
      <w:r w:rsidRPr="00AA1A78">
        <w:rPr>
          <w:sz w:val="22"/>
          <w:szCs w:val="18"/>
        </w:rPr>
        <w:t>(4), pp.291–304.</w:t>
      </w:r>
    </w:p>
    <w:p w14:paraId="4EE5E95C" w14:textId="77777777" w:rsidR="00371C52" w:rsidRDefault="00371C52" w:rsidP="65D5587F">
      <w:pPr>
        <w:rPr>
          <w:rFonts w:ascii="Aptos" w:eastAsia="Aptos" w:hAnsi="Aptos" w:cs="Aptos"/>
          <w:color w:val="000000" w:themeColor="text1"/>
          <w:lang w:val="en-GB"/>
        </w:rPr>
      </w:pPr>
    </w:p>
    <w:p w14:paraId="2C078E63" w14:textId="21EB2E99" w:rsidR="009401E5" w:rsidRDefault="009401E5"/>
    <w:sectPr w:rsidR="009401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12BC13E"/>
    <w:rsid w:val="00017C21"/>
    <w:rsid w:val="000775DD"/>
    <w:rsid w:val="002B2294"/>
    <w:rsid w:val="00371C52"/>
    <w:rsid w:val="00815F72"/>
    <w:rsid w:val="009401E5"/>
    <w:rsid w:val="009A5E2F"/>
    <w:rsid w:val="00A71167"/>
    <w:rsid w:val="00B76F2B"/>
    <w:rsid w:val="00DC701E"/>
    <w:rsid w:val="00FE2FEA"/>
    <w:rsid w:val="02CB5E9F"/>
    <w:rsid w:val="05487950"/>
    <w:rsid w:val="070BBA5F"/>
    <w:rsid w:val="078303AD"/>
    <w:rsid w:val="0F3B0F09"/>
    <w:rsid w:val="112BC13E"/>
    <w:rsid w:val="114B6791"/>
    <w:rsid w:val="159BF45B"/>
    <w:rsid w:val="17A83FC8"/>
    <w:rsid w:val="18E38DC2"/>
    <w:rsid w:val="1E2E7CDB"/>
    <w:rsid w:val="21361DEE"/>
    <w:rsid w:val="23CAA1A7"/>
    <w:rsid w:val="25CB8657"/>
    <w:rsid w:val="268CE984"/>
    <w:rsid w:val="34E19365"/>
    <w:rsid w:val="35FB77C1"/>
    <w:rsid w:val="432CD848"/>
    <w:rsid w:val="4609E8DE"/>
    <w:rsid w:val="465E6C7A"/>
    <w:rsid w:val="47FF40D3"/>
    <w:rsid w:val="4955879C"/>
    <w:rsid w:val="501AC2D5"/>
    <w:rsid w:val="55864C44"/>
    <w:rsid w:val="5822455F"/>
    <w:rsid w:val="5897D8B4"/>
    <w:rsid w:val="5AAB9528"/>
    <w:rsid w:val="609A8396"/>
    <w:rsid w:val="6543689A"/>
    <w:rsid w:val="65D423FC"/>
    <w:rsid w:val="65D5587F"/>
    <w:rsid w:val="67BA4C9C"/>
    <w:rsid w:val="6E55F748"/>
    <w:rsid w:val="6F000864"/>
    <w:rsid w:val="70A176A9"/>
    <w:rsid w:val="7D703F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BC13E"/>
  <w15:chartTrackingRefBased/>
  <w15:docId w15:val="{E5130537-46FD-4D8A-BCB4-1BBF70826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ibliography">
    <w:name w:val="Bibliography"/>
    <w:basedOn w:val="Normal"/>
    <w:next w:val="Normal"/>
    <w:uiPriority w:val="37"/>
    <w:semiHidden/>
    <w:unhideWhenUsed/>
    <w:rsid w:val="00017C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575130">
      <w:bodyDiv w:val="1"/>
      <w:marLeft w:val="0"/>
      <w:marRight w:val="0"/>
      <w:marTop w:val="0"/>
      <w:marBottom w:val="0"/>
      <w:divBdr>
        <w:top w:val="none" w:sz="0" w:space="0" w:color="auto"/>
        <w:left w:val="none" w:sz="0" w:space="0" w:color="auto"/>
        <w:bottom w:val="none" w:sz="0" w:space="0" w:color="auto"/>
        <w:right w:val="none" w:sz="0" w:space="0" w:color="auto"/>
      </w:divBdr>
    </w:div>
    <w:div w:id="154109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727</Words>
  <Characters>4148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Nicky Kerr</dc:creator>
  <cp:keywords/>
  <dc:description/>
  <cp:lastModifiedBy>Nicky Kerr</cp:lastModifiedBy>
  <cp:revision>4</cp:revision>
  <dcterms:created xsi:type="dcterms:W3CDTF">2025-10-28T09:52:00Z</dcterms:created>
  <dcterms:modified xsi:type="dcterms:W3CDTF">2025-10-28T09:59:00Z</dcterms:modified>
</cp:coreProperties>
</file>