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8FC2E" w14:textId="77777777" w:rsidR="003F7E0F" w:rsidRDefault="00000000">
      <w:pPr>
        <w:pStyle w:val="Heading1"/>
        <w:spacing w:before="0" w:after="0"/>
        <w:contextualSpacing/>
        <w:rPr>
          <w:sz w:val="24"/>
          <w:szCs w:val="24"/>
        </w:rPr>
      </w:pPr>
      <w:r>
        <w:rPr>
          <w:color w:val="000000"/>
          <w:sz w:val="24"/>
          <w:szCs w:val="24"/>
        </w:rPr>
        <w:t xml:space="preserve">Fuel moisture and micro-scale combustion calorimetry data for </w:t>
      </w:r>
      <w:r>
        <w:rPr>
          <w:i/>
          <w:iCs/>
          <w:color w:val="000000"/>
          <w:sz w:val="24"/>
          <w:szCs w:val="24"/>
        </w:rPr>
        <w:t>Calluna vulgaris</w:t>
      </w:r>
      <w:r>
        <w:rPr>
          <w:color w:val="000000"/>
          <w:sz w:val="24"/>
          <w:szCs w:val="24"/>
        </w:rPr>
        <w:t xml:space="preserve"> in the UK</w:t>
      </w:r>
    </w:p>
    <w:p w14:paraId="2588FC2F" w14:textId="77777777" w:rsidR="003F7E0F" w:rsidRDefault="003F7E0F">
      <w:pPr>
        <w:pStyle w:val="BodyText"/>
        <w:spacing w:after="0"/>
        <w:contextualSpacing/>
        <w:rPr>
          <w:b/>
          <w:bCs/>
        </w:rPr>
      </w:pPr>
    </w:p>
    <w:p w14:paraId="2588FC30" w14:textId="5D580249" w:rsidR="003F7E0F" w:rsidRDefault="00000000">
      <w:pPr>
        <w:pStyle w:val="BodyText"/>
        <w:spacing w:after="0"/>
        <w:contextualSpacing/>
      </w:pPr>
      <w:r>
        <w:t>Ivison</w:t>
      </w:r>
      <w:r w:rsidR="00CC4AF0">
        <w:t>, K.</w:t>
      </w:r>
      <w:r>
        <w:rPr>
          <w:rStyle w:val="FootnoteReference"/>
          <w:color w:val="C9211E"/>
        </w:rPr>
        <w:footnoteReference w:id="1"/>
      </w:r>
      <w:r>
        <w:t>, Little</w:t>
      </w:r>
      <w:r w:rsidR="00CC4AF0">
        <w:t>, K.</w:t>
      </w:r>
      <w:r>
        <w:rPr>
          <w:color w:val="C9211E"/>
          <w:vertAlign w:val="superscript"/>
        </w:rPr>
        <w:t>1</w:t>
      </w:r>
      <w:r>
        <w:t>, Belcher</w:t>
      </w:r>
      <w:r w:rsidR="007B3FF9">
        <w:t>, C.M.</w:t>
      </w:r>
      <w:r>
        <w:rPr>
          <w:rStyle w:val="FootnoteReference"/>
          <w:color w:val="C9211E"/>
        </w:rPr>
        <w:footnoteReference w:id="2"/>
      </w:r>
      <w:r>
        <w:t>, Crawford</w:t>
      </w:r>
      <w:r w:rsidR="007B3FF9">
        <w:t>, A.J.</w:t>
      </w:r>
      <w:r>
        <w:rPr>
          <w:color w:val="C9211E"/>
          <w:vertAlign w:val="superscript"/>
        </w:rPr>
        <w:t>2</w:t>
      </w:r>
      <w:r>
        <w:t>, Davidson</w:t>
      </w:r>
      <w:r w:rsidR="00EB2973">
        <w:t>, S.J.</w:t>
      </w:r>
      <w:r>
        <w:rPr>
          <w:rStyle w:val="FootnoteReference"/>
          <w:color w:val="C9211E"/>
        </w:rPr>
        <w:footnoteReference w:id="3"/>
      </w:r>
      <w:r>
        <w:t>, Graham</w:t>
      </w:r>
      <w:r w:rsidR="00EB2973">
        <w:t>, L.J.</w:t>
      </w:r>
      <w:r>
        <w:rPr>
          <w:color w:val="C9211E"/>
          <w:vertAlign w:val="superscript"/>
        </w:rPr>
        <w:t>1,</w:t>
      </w:r>
      <w:r>
        <w:rPr>
          <w:rStyle w:val="FootnoteReference"/>
          <w:color w:val="C9211E"/>
        </w:rPr>
        <w:footnoteReference w:id="4"/>
      </w:r>
      <w:r>
        <w:t xml:space="preserve"> &amp; Kettridge</w:t>
      </w:r>
      <w:r w:rsidR="00EB2973">
        <w:t>, N.</w:t>
      </w:r>
      <w:r>
        <w:rPr>
          <w:color w:val="C9211E"/>
          <w:vertAlign w:val="superscript"/>
        </w:rPr>
        <w:t>1</w:t>
      </w:r>
    </w:p>
    <w:p w14:paraId="2588FC31" w14:textId="77777777" w:rsidR="003F7E0F" w:rsidRDefault="003F7E0F">
      <w:pPr>
        <w:contextualSpacing/>
        <w:rPr>
          <w:b/>
          <w:bCs/>
        </w:rPr>
      </w:pPr>
    </w:p>
    <w:p w14:paraId="2588FC32" w14:textId="77777777" w:rsidR="003F7E0F" w:rsidRDefault="003F7E0F">
      <w:pPr>
        <w:contextualSpacing/>
        <w:rPr>
          <w:b/>
          <w:bCs/>
        </w:rPr>
      </w:pPr>
    </w:p>
    <w:p w14:paraId="2588FC33" w14:textId="77777777" w:rsidR="003F7E0F" w:rsidRDefault="00000000">
      <w:pPr>
        <w:contextualSpacing/>
        <w:rPr>
          <w:b/>
          <w:bCs/>
        </w:rPr>
      </w:pPr>
      <w:r>
        <w:rPr>
          <w:b/>
          <w:bCs/>
        </w:rPr>
        <w:t>Overview &amp; aims</w:t>
      </w:r>
    </w:p>
    <w:p w14:paraId="2588FC34" w14:textId="77777777" w:rsidR="003F7E0F" w:rsidRDefault="003F7E0F">
      <w:pPr>
        <w:contextualSpacing/>
        <w:rPr>
          <w:color w:val="000000"/>
        </w:rPr>
      </w:pPr>
    </w:p>
    <w:p w14:paraId="2588FC35" w14:textId="77777777" w:rsidR="003F7E0F" w:rsidRDefault="00000000">
      <w:pPr>
        <w:contextualSpacing/>
        <w:rPr>
          <w:color w:val="000000"/>
        </w:rPr>
      </w:pPr>
      <w:r>
        <w:rPr>
          <w:color w:val="000000"/>
        </w:rPr>
        <w:t>This dataset contains fuel moisture contents and flammability metrics for samples of common heather (</w:t>
      </w:r>
      <w:r>
        <w:rPr>
          <w:i/>
          <w:iCs/>
          <w:color w:val="000000"/>
        </w:rPr>
        <w:t>Calluna vulgaris</w:t>
      </w:r>
      <w:r>
        <w:rPr>
          <w:color w:val="000000"/>
        </w:rPr>
        <w:t>) collected under a citizen science initiative, as part of the project ‘Towards a UK Fire Danger Rating System’ (UKFDRS).</w:t>
      </w:r>
    </w:p>
    <w:p w14:paraId="2588FC36" w14:textId="77777777" w:rsidR="003F7E0F" w:rsidRDefault="003F7E0F">
      <w:pPr>
        <w:contextualSpacing/>
        <w:rPr>
          <w:color w:val="000000"/>
        </w:rPr>
      </w:pPr>
    </w:p>
    <w:p w14:paraId="2588FC37" w14:textId="77777777" w:rsidR="003F7E0F" w:rsidRDefault="00000000">
      <w:pPr>
        <w:contextualSpacing/>
        <w:rPr>
          <w:color w:val="000000"/>
        </w:rPr>
      </w:pPr>
      <w:r>
        <w:rPr>
          <w:color w:val="000000"/>
        </w:rPr>
        <w:t xml:space="preserve">The data derive from samples of </w:t>
      </w:r>
      <w:r>
        <w:rPr>
          <w:i/>
          <w:iCs/>
          <w:color w:val="000000"/>
        </w:rPr>
        <w:t>C. vulgaris</w:t>
      </w:r>
      <w:r>
        <w:rPr>
          <w:color w:val="000000"/>
        </w:rPr>
        <w:t xml:space="preserve"> collected by volunteers from across the United Kingdom between 15</w:t>
      </w:r>
      <w:r>
        <w:rPr>
          <w:color w:val="000000"/>
          <w:vertAlign w:val="superscript"/>
        </w:rPr>
        <w:t>th</w:t>
      </w:r>
      <w:r>
        <w:rPr>
          <w:color w:val="000000"/>
        </w:rPr>
        <w:t xml:space="preserve"> April and 20</w:t>
      </w:r>
      <w:r>
        <w:rPr>
          <w:color w:val="000000"/>
          <w:vertAlign w:val="superscript"/>
        </w:rPr>
        <w:t>th</w:t>
      </w:r>
      <w:r>
        <w:rPr>
          <w:color w:val="000000"/>
        </w:rPr>
        <w:t xml:space="preserve"> May 2023.  A total of 830 samples were used to measure fuel moisture content (FMC), and 130 of these were also subjected to calorimetric analysis.  FMC data were obtained gravimetrically by weighing samples before and after drying.  Flammability data were obtained by micro-scale combustion calorimetry, which measures heat release related to flaming combustion of a fuel material.  The flammability metrics recorded were the heat release capacity (HRC), peak heat release rate (PHRR), total heat release (THR), and temperature at maximum rate of decomposition (</w:t>
      </w:r>
      <w:proofErr w:type="spellStart"/>
      <w:r>
        <w:rPr>
          <w:color w:val="000000"/>
        </w:rPr>
        <w:t>Tmax</w:t>
      </w:r>
      <w:proofErr w:type="spellEnd"/>
      <w:r>
        <w:rPr>
          <w:color w:val="000000"/>
        </w:rPr>
        <w:t>).</w:t>
      </w:r>
    </w:p>
    <w:p w14:paraId="2588FC38" w14:textId="77777777" w:rsidR="003F7E0F" w:rsidRDefault="003F7E0F">
      <w:pPr>
        <w:contextualSpacing/>
        <w:rPr>
          <w:color w:val="000000"/>
        </w:rPr>
      </w:pPr>
    </w:p>
    <w:p w14:paraId="2588FC39" w14:textId="77777777" w:rsidR="003F7E0F" w:rsidRDefault="00000000">
      <w:pPr>
        <w:contextualSpacing/>
        <w:rPr>
          <w:color w:val="C9211E"/>
        </w:rPr>
      </w:pPr>
      <w:r>
        <w:rPr>
          <w:color w:val="000000"/>
        </w:rPr>
        <w:t>These data will contribute to the development of models of fuel moisture variability in UK fuels, and thus refine inputs for fire behaviour modelling, which can</w:t>
      </w:r>
      <w:r>
        <w:rPr>
          <w:rStyle w:val="Strong"/>
          <w:b w:val="0"/>
          <w:bCs w:val="0"/>
          <w:color w:val="000000"/>
        </w:rPr>
        <w:t xml:space="preserve"> inform land management strategies in relation to wildfire risk.</w:t>
      </w:r>
    </w:p>
    <w:p w14:paraId="2588FC3A" w14:textId="77777777" w:rsidR="003F7E0F" w:rsidRDefault="003F7E0F">
      <w:pPr>
        <w:contextualSpacing/>
        <w:rPr>
          <w:color w:val="000000"/>
        </w:rPr>
      </w:pPr>
    </w:p>
    <w:p w14:paraId="2588FC3B" w14:textId="77777777" w:rsidR="003F7E0F" w:rsidRDefault="003F7E0F">
      <w:pPr>
        <w:contextualSpacing/>
        <w:rPr>
          <w:color w:val="000000"/>
        </w:rPr>
      </w:pPr>
    </w:p>
    <w:p w14:paraId="2588FC3C" w14:textId="77777777" w:rsidR="003F7E0F" w:rsidRDefault="00000000">
      <w:pPr>
        <w:contextualSpacing/>
        <w:rPr>
          <w:b/>
          <w:bCs/>
        </w:rPr>
      </w:pPr>
      <w:r>
        <w:rPr>
          <w:b/>
          <w:bCs/>
        </w:rPr>
        <w:t>Data structure &amp; variables</w:t>
      </w:r>
    </w:p>
    <w:p w14:paraId="2588FC3D" w14:textId="77777777" w:rsidR="003F7E0F" w:rsidRDefault="003F7E0F">
      <w:pPr>
        <w:contextualSpacing/>
        <w:rPr>
          <w:color w:val="000000"/>
        </w:rPr>
      </w:pPr>
    </w:p>
    <w:p w14:paraId="2588FC3E" w14:textId="77777777" w:rsidR="003F7E0F" w:rsidRDefault="00000000">
      <w:pPr>
        <w:contextualSpacing/>
        <w:rPr>
          <w:color w:val="000000"/>
        </w:rPr>
      </w:pPr>
      <w:r>
        <w:rPr>
          <w:color w:val="000000"/>
        </w:rPr>
        <w:t xml:space="preserve">The single CSV file contains 830 cases (rows), where each represents one </w:t>
      </w:r>
      <w:r>
        <w:rPr>
          <w:i/>
          <w:iCs/>
          <w:color w:val="000000"/>
        </w:rPr>
        <w:t>C. vulgaris</w:t>
      </w:r>
      <w:r>
        <w:rPr>
          <w:color w:val="000000"/>
        </w:rPr>
        <w:t xml:space="preserve"> sample, with either FMC data only, or FMC and calorimetric data.  It includes the following 11 variables (columns):</w:t>
      </w:r>
    </w:p>
    <w:p w14:paraId="2588FC3F" w14:textId="77777777" w:rsidR="003F7E0F" w:rsidRDefault="003F7E0F">
      <w:pPr>
        <w:contextualSpacing/>
        <w:rPr>
          <w:color w:val="000000"/>
        </w:rPr>
      </w:pPr>
    </w:p>
    <w:p w14:paraId="2588FC40" w14:textId="77777777" w:rsidR="003F7E0F" w:rsidRDefault="00000000">
      <w:pPr>
        <w:contextualSpacing/>
        <w:rPr>
          <w:color w:val="000000"/>
        </w:rPr>
      </w:pPr>
      <w:r>
        <w:rPr>
          <w:b/>
          <w:bCs/>
          <w:color w:val="000000"/>
        </w:rPr>
        <w:t>Date:</w:t>
      </w:r>
      <w:r>
        <w:rPr>
          <w:color w:val="000000"/>
        </w:rPr>
        <w:t xml:space="preserve">  The date on which the sample was collected.  (This was not recorded by the volunteers for 14 of the samples.)</w:t>
      </w:r>
    </w:p>
    <w:p w14:paraId="2588FC41" w14:textId="77777777" w:rsidR="003F7E0F" w:rsidRDefault="003F7E0F">
      <w:pPr>
        <w:contextualSpacing/>
        <w:rPr>
          <w:color w:val="000000"/>
        </w:rPr>
      </w:pPr>
    </w:p>
    <w:p w14:paraId="2588FC42" w14:textId="77777777" w:rsidR="003F7E0F" w:rsidRDefault="00000000">
      <w:pPr>
        <w:contextualSpacing/>
        <w:rPr>
          <w:color w:val="000000"/>
        </w:rPr>
      </w:pPr>
      <w:r>
        <w:rPr>
          <w:b/>
          <w:bCs/>
          <w:color w:val="000000"/>
        </w:rPr>
        <w:t>Time:</w:t>
      </w:r>
      <w:r>
        <w:rPr>
          <w:color w:val="000000"/>
        </w:rPr>
        <w:t xml:space="preserve">  The time at which the sample was collected.  (This was not recorded by the volunteers for 19 of the samples.)</w:t>
      </w:r>
    </w:p>
    <w:p w14:paraId="2588FC43" w14:textId="77777777" w:rsidR="003F7E0F" w:rsidRDefault="003F7E0F">
      <w:pPr>
        <w:contextualSpacing/>
        <w:rPr>
          <w:color w:val="000000"/>
        </w:rPr>
      </w:pPr>
    </w:p>
    <w:p w14:paraId="2588FC44" w14:textId="77777777" w:rsidR="003F7E0F" w:rsidRDefault="00000000">
      <w:pPr>
        <w:contextualSpacing/>
        <w:rPr>
          <w:color w:val="000000"/>
        </w:rPr>
      </w:pPr>
      <w:r>
        <w:rPr>
          <w:b/>
          <w:bCs/>
          <w:color w:val="000000"/>
        </w:rPr>
        <w:t>Latitude:</w:t>
      </w:r>
      <w:r>
        <w:rPr>
          <w:color w:val="000000"/>
        </w:rPr>
        <w:t xml:space="preserve">  The latitude of the sampling location in decimal degrees.</w:t>
      </w:r>
    </w:p>
    <w:p w14:paraId="2588FC45" w14:textId="77777777" w:rsidR="003F7E0F" w:rsidRDefault="003F7E0F">
      <w:pPr>
        <w:contextualSpacing/>
        <w:rPr>
          <w:color w:val="000000"/>
        </w:rPr>
      </w:pPr>
    </w:p>
    <w:p w14:paraId="2588FC46" w14:textId="77777777" w:rsidR="003F7E0F" w:rsidRDefault="00000000">
      <w:pPr>
        <w:contextualSpacing/>
        <w:rPr>
          <w:color w:val="000000"/>
        </w:rPr>
      </w:pPr>
      <w:r>
        <w:rPr>
          <w:b/>
          <w:bCs/>
          <w:color w:val="000000"/>
        </w:rPr>
        <w:t>Longitude:</w:t>
      </w:r>
      <w:r>
        <w:rPr>
          <w:color w:val="000000"/>
        </w:rPr>
        <w:t xml:space="preserve">  The longitude of the sampling location in decimal degrees.</w:t>
      </w:r>
    </w:p>
    <w:p w14:paraId="2588FC47" w14:textId="77777777" w:rsidR="003F7E0F" w:rsidRDefault="003F7E0F">
      <w:pPr>
        <w:contextualSpacing/>
        <w:rPr>
          <w:color w:val="000000"/>
        </w:rPr>
      </w:pPr>
    </w:p>
    <w:p w14:paraId="2588FC48" w14:textId="77777777" w:rsidR="003F7E0F" w:rsidRDefault="00000000">
      <w:pPr>
        <w:contextualSpacing/>
        <w:rPr>
          <w:color w:val="000000"/>
        </w:rPr>
      </w:pPr>
      <w:r>
        <w:rPr>
          <w:b/>
          <w:bCs/>
          <w:color w:val="000000"/>
        </w:rPr>
        <w:t>Height:</w:t>
      </w:r>
      <w:r>
        <w:rPr>
          <w:color w:val="000000"/>
        </w:rPr>
        <w:t xml:space="preserve">  The approximate height of the heather canopy (cm).  (This was not recorded by the volunteers for 23 of the samples.)</w:t>
      </w:r>
    </w:p>
    <w:p w14:paraId="2588FC49" w14:textId="77777777" w:rsidR="003F7E0F" w:rsidRDefault="003F7E0F">
      <w:pPr>
        <w:contextualSpacing/>
        <w:rPr>
          <w:color w:val="000000"/>
        </w:rPr>
      </w:pPr>
    </w:p>
    <w:p w14:paraId="2588FC4A" w14:textId="77777777" w:rsidR="003F7E0F" w:rsidRDefault="00000000">
      <w:pPr>
        <w:contextualSpacing/>
        <w:rPr>
          <w:color w:val="000000"/>
        </w:rPr>
      </w:pPr>
      <w:r>
        <w:rPr>
          <w:b/>
          <w:bCs/>
          <w:color w:val="000000"/>
        </w:rPr>
        <w:lastRenderedPageBreak/>
        <w:t>PHRR:</w:t>
      </w:r>
      <w:r>
        <w:rPr>
          <w:color w:val="000000"/>
        </w:rPr>
        <w:t xml:space="preserve">  Peak heat release rate (W/g): the maximum rate of specific heat release attained during the test.</w:t>
      </w:r>
    </w:p>
    <w:p w14:paraId="2588FC4B" w14:textId="77777777" w:rsidR="003F7E0F" w:rsidRDefault="003F7E0F">
      <w:pPr>
        <w:contextualSpacing/>
        <w:rPr>
          <w:color w:val="BF0041"/>
        </w:rPr>
      </w:pPr>
    </w:p>
    <w:p w14:paraId="2588FC4C" w14:textId="77777777" w:rsidR="003F7E0F" w:rsidRDefault="00000000">
      <w:pPr>
        <w:contextualSpacing/>
        <w:rPr>
          <w:color w:val="000000"/>
        </w:rPr>
      </w:pPr>
      <w:r>
        <w:rPr>
          <w:b/>
          <w:bCs/>
          <w:color w:val="000000"/>
        </w:rPr>
        <w:t>HRC:</w:t>
      </w:r>
      <w:r>
        <w:rPr>
          <w:color w:val="000000"/>
        </w:rPr>
        <w:t xml:space="preserve">  Heat release capacity (J/g/K): the PHRR normalised for the externally applied heating rate.</w:t>
      </w:r>
    </w:p>
    <w:p w14:paraId="2588FC4D" w14:textId="77777777" w:rsidR="003F7E0F" w:rsidRDefault="003F7E0F">
      <w:pPr>
        <w:contextualSpacing/>
        <w:rPr>
          <w:color w:val="BF0041"/>
        </w:rPr>
      </w:pPr>
    </w:p>
    <w:p w14:paraId="2588FC4E" w14:textId="77777777" w:rsidR="003F7E0F" w:rsidRDefault="00000000">
      <w:pPr>
        <w:contextualSpacing/>
        <w:rPr>
          <w:color w:val="000000"/>
        </w:rPr>
      </w:pPr>
      <w:proofErr w:type="spellStart"/>
      <w:r>
        <w:rPr>
          <w:b/>
          <w:bCs/>
          <w:color w:val="000000"/>
        </w:rPr>
        <w:t>Tmax</w:t>
      </w:r>
      <w:proofErr w:type="spellEnd"/>
      <w:r>
        <w:rPr>
          <w:b/>
          <w:bCs/>
          <w:color w:val="000000"/>
        </w:rPr>
        <w:t>:</w:t>
      </w:r>
      <w:r>
        <w:rPr>
          <w:color w:val="000000"/>
        </w:rPr>
        <w:t xml:space="preserve">  Temperature of maximum decomposition (</w:t>
      </w:r>
      <w:r>
        <w:rPr>
          <w:rFonts w:ascii="Liberation Sans" w:hAnsi="Liberation Sans"/>
          <w:color w:val="000000"/>
        </w:rPr>
        <w:t>°</w:t>
      </w:r>
      <w:r>
        <w:rPr>
          <w:color w:val="000000"/>
        </w:rPr>
        <w:t xml:space="preserve">C): the temperature at which the conversion of solid fuel to </w:t>
      </w:r>
      <w:proofErr w:type="spellStart"/>
      <w:r>
        <w:rPr>
          <w:color w:val="000000"/>
        </w:rPr>
        <w:t>pyrolysate</w:t>
      </w:r>
      <w:proofErr w:type="spellEnd"/>
      <w:r>
        <w:rPr>
          <w:color w:val="000000"/>
        </w:rPr>
        <w:t xml:space="preserve"> reaches its maximum rate (and the temperature at the attainment of PHRR).</w:t>
      </w:r>
    </w:p>
    <w:p w14:paraId="2588FC4F" w14:textId="77777777" w:rsidR="003F7E0F" w:rsidRDefault="003F7E0F">
      <w:pPr>
        <w:contextualSpacing/>
        <w:rPr>
          <w:color w:val="BF0041"/>
        </w:rPr>
      </w:pPr>
    </w:p>
    <w:p w14:paraId="2588FC50" w14:textId="77777777" w:rsidR="003F7E0F" w:rsidRDefault="00000000">
      <w:pPr>
        <w:contextualSpacing/>
        <w:rPr>
          <w:color w:val="000000"/>
        </w:rPr>
      </w:pPr>
      <w:r>
        <w:rPr>
          <w:b/>
          <w:bCs/>
          <w:color w:val="000000"/>
        </w:rPr>
        <w:t>THR:</w:t>
      </w:r>
      <w:r>
        <w:rPr>
          <w:color w:val="000000"/>
        </w:rPr>
        <w:t xml:space="preserve">  Total heat released (kJ/g).  The cumulative energy released by combustion per unit mass.</w:t>
      </w:r>
    </w:p>
    <w:p w14:paraId="2588FC51" w14:textId="77777777" w:rsidR="003F7E0F" w:rsidRDefault="003F7E0F">
      <w:pPr>
        <w:contextualSpacing/>
        <w:rPr>
          <w:color w:val="000000"/>
        </w:rPr>
      </w:pPr>
    </w:p>
    <w:p w14:paraId="2588FC52" w14:textId="77777777" w:rsidR="003F7E0F" w:rsidRDefault="00000000">
      <w:pPr>
        <w:contextualSpacing/>
        <w:rPr>
          <w:color w:val="000000"/>
        </w:rPr>
      </w:pPr>
      <w:r>
        <w:rPr>
          <w:b/>
          <w:bCs/>
          <w:color w:val="000000"/>
        </w:rPr>
        <w:t>FMC_1:</w:t>
      </w:r>
      <w:r>
        <w:rPr>
          <w:color w:val="000000"/>
        </w:rPr>
        <w:t xml:space="preserve">  The moisture content of the sample, expressed as a percentage of dry mass, for samples not used for calorimetry.</w:t>
      </w:r>
    </w:p>
    <w:p w14:paraId="2588FC53" w14:textId="77777777" w:rsidR="003F7E0F" w:rsidRDefault="003F7E0F">
      <w:pPr>
        <w:contextualSpacing/>
        <w:rPr>
          <w:color w:val="000000"/>
        </w:rPr>
      </w:pPr>
    </w:p>
    <w:p w14:paraId="2588FC54" w14:textId="77777777" w:rsidR="003F7E0F" w:rsidRDefault="00000000">
      <w:pPr>
        <w:contextualSpacing/>
        <w:rPr>
          <w:color w:val="000000"/>
        </w:rPr>
      </w:pPr>
      <w:r>
        <w:rPr>
          <w:b/>
          <w:bCs/>
          <w:color w:val="000000"/>
        </w:rPr>
        <w:t>FMC_2:</w:t>
      </w:r>
      <w:r>
        <w:rPr>
          <w:color w:val="000000"/>
        </w:rPr>
        <w:t xml:space="preserve">  The moisture content of the sample, expressed as a percentage of dry mass, for samples also used for calorimetry.  We list this as a separate variable from FMC_1 because a different protocol was employed, though this is not expected to have any measurable effect on the data (see Methods).</w:t>
      </w:r>
    </w:p>
    <w:p w14:paraId="2588FC55" w14:textId="77777777" w:rsidR="003F7E0F" w:rsidRDefault="003F7E0F">
      <w:pPr>
        <w:contextualSpacing/>
        <w:rPr>
          <w:color w:val="000000"/>
        </w:rPr>
      </w:pPr>
    </w:p>
    <w:p w14:paraId="2588FC56" w14:textId="77777777" w:rsidR="003F7E0F" w:rsidRDefault="003F7E0F">
      <w:pPr>
        <w:contextualSpacing/>
        <w:rPr>
          <w:color w:val="000000"/>
        </w:rPr>
      </w:pPr>
    </w:p>
    <w:p w14:paraId="2588FC57" w14:textId="77777777" w:rsidR="003F7E0F" w:rsidRDefault="00000000">
      <w:pPr>
        <w:contextualSpacing/>
        <w:rPr>
          <w:b/>
          <w:bCs/>
          <w:color w:val="000000"/>
        </w:rPr>
      </w:pPr>
      <w:r>
        <w:rPr>
          <w:b/>
          <w:bCs/>
          <w:color w:val="000000"/>
        </w:rPr>
        <w:t>Methods</w:t>
      </w:r>
    </w:p>
    <w:p w14:paraId="2588FC58" w14:textId="77777777" w:rsidR="003F7E0F" w:rsidRDefault="003F7E0F">
      <w:pPr>
        <w:contextualSpacing/>
        <w:rPr>
          <w:color w:val="000000"/>
        </w:rPr>
      </w:pPr>
    </w:p>
    <w:p w14:paraId="2588FC59" w14:textId="77777777" w:rsidR="003F7E0F" w:rsidRDefault="00000000">
      <w:pPr>
        <w:spacing w:after="100" w:line="360" w:lineRule="auto"/>
        <w:jc w:val="both"/>
        <w:rPr>
          <w:color w:val="000000"/>
        </w:rPr>
      </w:pPr>
      <w:r>
        <w:rPr>
          <w:color w:val="000000"/>
        </w:rPr>
        <w:t xml:space="preserve">Volunteers were requested to collect samples on 19 April 2023, or as close as possible to this date, based on forecasts of dry, fire-prone weather for the UK.  At each sampling location, the approximate height of the heather canopy was measured, and live </w:t>
      </w:r>
      <w:r>
        <w:rPr>
          <w:i/>
          <w:iCs/>
          <w:color w:val="000000"/>
        </w:rPr>
        <w:t>C. vulgaris</w:t>
      </w:r>
      <w:r>
        <w:rPr>
          <w:color w:val="000000"/>
        </w:rPr>
        <w:t xml:space="preserve"> was clipped from c. 10 plants along a 20 m transect.  Samples from each transect were combined in an aluminium tin, sealed with tape to prevent moisture loss, and sent for analysis by priority mail.  Samples for fuel moisture analysis only (</w:t>
      </w:r>
      <w:r>
        <w:rPr>
          <w:i/>
          <w:iCs/>
          <w:color w:val="000000"/>
        </w:rPr>
        <w:t>n</w:t>
      </w:r>
      <w:r>
        <w:rPr>
          <w:color w:val="000000"/>
        </w:rPr>
        <w:t xml:space="preserve"> = 700) were weighed, dried at 80°C for 48 h, and then reweighed.  FMC_1 was defined as:</w:t>
      </w:r>
    </w:p>
    <w:p w14:paraId="2588FC5A" w14:textId="77777777" w:rsidR="003F7E0F" w:rsidRDefault="00000000">
      <w:pPr>
        <w:spacing w:after="100" w:line="360" w:lineRule="auto"/>
        <w:jc w:val="center"/>
        <w:rPr>
          <w:color w:val="000000"/>
        </w:rPr>
      </w:pPr>
      <w:r>
        <w:rPr>
          <w:color w:val="000000"/>
        </w:rPr>
        <w:t>Fuel Moisture = ((wet mass - dry mass) / dry mass) × 100</w:t>
      </w:r>
    </w:p>
    <w:p w14:paraId="2588FC5B" w14:textId="77777777" w:rsidR="003F7E0F" w:rsidRDefault="00000000">
      <w:pPr>
        <w:spacing w:after="100" w:line="360" w:lineRule="auto"/>
        <w:jc w:val="both"/>
        <w:rPr>
          <w:color w:val="000000"/>
        </w:rPr>
      </w:pPr>
      <w:r>
        <w:rPr>
          <w:color w:val="000000"/>
        </w:rPr>
        <w:t>Samples for calorimetric analysis (</w:t>
      </w:r>
      <w:r>
        <w:rPr>
          <w:i/>
          <w:iCs/>
          <w:color w:val="000000"/>
        </w:rPr>
        <w:t>n</w:t>
      </w:r>
      <w:r>
        <w:rPr>
          <w:color w:val="000000"/>
        </w:rPr>
        <w:t xml:space="preserve"> = 130) were analysed using an FAA Micro Calorimeter (Fire Testing Technology Ltd, East Grinstead, UK).  Two s</w:t>
      </w:r>
      <w:r>
        <w:rPr>
          <w:color w:val="111111"/>
        </w:rPr>
        <w:t>ubsamples of 6.2‒31.1 mg were analysed from each sample.  The heating rate of the pyrolysis chamber was set to 3°C s</w:t>
      </w:r>
      <w:r>
        <w:rPr>
          <w:color w:val="111111"/>
          <w:vertAlign w:val="superscript"/>
        </w:rPr>
        <w:t>-1</w:t>
      </w:r>
      <w:r>
        <w:rPr>
          <w:color w:val="111111"/>
        </w:rPr>
        <w:t>, the maximum pyrolysis temperature to 750°C, and the combustion chamber temperature to 900°C.  The N₂ flow rate was set to 80 cm³ min</w:t>
      </w:r>
      <w:r>
        <w:rPr>
          <w:color w:val="111111"/>
          <w:vertAlign w:val="superscript"/>
        </w:rPr>
        <w:t>-1</w:t>
      </w:r>
      <w:r>
        <w:rPr>
          <w:color w:val="111111"/>
        </w:rPr>
        <w:t xml:space="preserve"> and the O₂ flow rate to 20 cm³ min</w:t>
      </w:r>
      <w:r>
        <w:rPr>
          <w:color w:val="111111"/>
          <w:vertAlign w:val="superscript"/>
        </w:rPr>
        <w:t>-1</w:t>
      </w:r>
      <w:r>
        <w:rPr>
          <w:color w:val="111111"/>
        </w:rPr>
        <w:t xml:space="preserve">.  </w:t>
      </w:r>
      <w:r>
        <w:rPr>
          <w:color w:val="000000"/>
        </w:rPr>
        <w:t xml:space="preserve">For each flammability metric (HRC, PHRR, THR and </w:t>
      </w:r>
      <w:proofErr w:type="spellStart"/>
      <w:r>
        <w:rPr>
          <w:color w:val="000000"/>
        </w:rPr>
        <w:t>Tmax</w:t>
      </w:r>
      <w:proofErr w:type="spellEnd"/>
      <w:r>
        <w:rPr>
          <w:color w:val="000000"/>
        </w:rPr>
        <w:t>) the mean of the tests for the two subsamples was taken.  The remainder of each sample was used to obtain FMC: the sample was weighed, then dried at 50 °C until it reached constant weight.  FMC_2 was defined as for FMC_1.  Detailed methods are provided by Ivison et al. (2025).</w:t>
      </w:r>
    </w:p>
    <w:p w14:paraId="043CF09A" w14:textId="77777777" w:rsidR="00721600" w:rsidRDefault="00721600" w:rsidP="008D2962">
      <w:pPr>
        <w:contextualSpacing/>
        <w:rPr>
          <w:b/>
          <w:bCs/>
          <w:color w:val="000000"/>
        </w:rPr>
      </w:pPr>
    </w:p>
    <w:p w14:paraId="2769BF03" w14:textId="77777777" w:rsidR="00721600" w:rsidRDefault="00721600" w:rsidP="008D2962">
      <w:pPr>
        <w:contextualSpacing/>
        <w:rPr>
          <w:b/>
          <w:bCs/>
          <w:color w:val="000000"/>
        </w:rPr>
      </w:pPr>
    </w:p>
    <w:p w14:paraId="6AD8EBD7" w14:textId="77777777" w:rsidR="00721600" w:rsidRDefault="00721600" w:rsidP="008D2962">
      <w:pPr>
        <w:contextualSpacing/>
        <w:rPr>
          <w:b/>
          <w:bCs/>
          <w:color w:val="000000"/>
        </w:rPr>
      </w:pPr>
    </w:p>
    <w:p w14:paraId="0EB40E50" w14:textId="77777777" w:rsidR="00721600" w:rsidRDefault="00721600" w:rsidP="008D2962">
      <w:pPr>
        <w:contextualSpacing/>
        <w:rPr>
          <w:b/>
          <w:bCs/>
          <w:color w:val="000000"/>
        </w:rPr>
      </w:pPr>
    </w:p>
    <w:p w14:paraId="0A0B0101" w14:textId="77777777" w:rsidR="00721600" w:rsidRDefault="00721600" w:rsidP="008D2962">
      <w:pPr>
        <w:contextualSpacing/>
        <w:rPr>
          <w:b/>
          <w:bCs/>
          <w:color w:val="000000"/>
        </w:rPr>
      </w:pPr>
    </w:p>
    <w:p w14:paraId="4E0704C1" w14:textId="2C95CDF5" w:rsidR="008D2962" w:rsidRDefault="008D2962" w:rsidP="008D2962">
      <w:pPr>
        <w:contextualSpacing/>
        <w:rPr>
          <w:b/>
          <w:bCs/>
          <w:color w:val="000000"/>
        </w:rPr>
      </w:pPr>
      <w:r w:rsidRPr="008D2962">
        <w:rPr>
          <w:b/>
          <w:bCs/>
          <w:color w:val="000000"/>
        </w:rPr>
        <w:lastRenderedPageBreak/>
        <w:t>Quality contro</w:t>
      </w:r>
      <w:r>
        <w:rPr>
          <w:b/>
          <w:bCs/>
          <w:color w:val="000000"/>
        </w:rPr>
        <w:t>l</w:t>
      </w:r>
    </w:p>
    <w:p w14:paraId="1A76F05F" w14:textId="77777777" w:rsidR="00721600" w:rsidRDefault="00721600" w:rsidP="008D2962">
      <w:pPr>
        <w:contextualSpacing/>
        <w:rPr>
          <w:b/>
          <w:bCs/>
          <w:color w:val="000000"/>
        </w:rPr>
      </w:pPr>
    </w:p>
    <w:p w14:paraId="1D29FA81" w14:textId="4109DB5C" w:rsidR="00721600" w:rsidRPr="00721600" w:rsidRDefault="00721600" w:rsidP="008D2962">
      <w:pPr>
        <w:contextualSpacing/>
        <w:rPr>
          <w:color w:val="000000"/>
        </w:rPr>
      </w:pPr>
      <w:r w:rsidRPr="00721600">
        <w:rPr>
          <w:color w:val="000000"/>
        </w:rPr>
        <w:t>Correct species identification was checked upon receipt of samples from volunteers, and incorrect specimens were discarded. Location data were confirmed by viewing the volunteer-provided coordinates over basemap imagery in a GIS. Fuel moisture content and all calorimetric data were screened for quality upon compilation of the data.</w:t>
      </w:r>
    </w:p>
    <w:p w14:paraId="2588FC5F" w14:textId="77777777" w:rsidR="003F7E0F" w:rsidRDefault="003F7E0F">
      <w:pPr>
        <w:contextualSpacing/>
        <w:rPr>
          <w:color w:val="000000"/>
        </w:rPr>
      </w:pPr>
    </w:p>
    <w:p w14:paraId="2588FC60" w14:textId="77777777" w:rsidR="003F7E0F" w:rsidRDefault="003F7E0F">
      <w:pPr>
        <w:contextualSpacing/>
        <w:rPr>
          <w:color w:val="000000"/>
        </w:rPr>
      </w:pPr>
    </w:p>
    <w:p w14:paraId="2588FC61" w14:textId="77777777" w:rsidR="003F7E0F" w:rsidRDefault="00000000">
      <w:pPr>
        <w:contextualSpacing/>
        <w:rPr>
          <w:b/>
          <w:bCs/>
          <w:color w:val="000000"/>
        </w:rPr>
      </w:pPr>
      <w:r>
        <w:rPr>
          <w:b/>
          <w:bCs/>
          <w:color w:val="000000"/>
        </w:rPr>
        <w:t>References</w:t>
      </w:r>
    </w:p>
    <w:p w14:paraId="2588FC62" w14:textId="77777777" w:rsidR="003F7E0F" w:rsidRDefault="003F7E0F">
      <w:pPr>
        <w:contextualSpacing/>
        <w:rPr>
          <w:color w:val="000000"/>
        </w:rPr>
      </w:pPr>
    </w:p>
    <w:p w14:paraId="2588FC63" w14:textId="77777777" w:rsidR="003F7E0F" w:rsidRDefault="00000000">
      <w:pPr>
        <w:pStyle w:val="BodyText"/>
        <w:spacing w:after="0"/>
        <w:contextualSpacing/>
        <w:rPr>
          <w:color w:val="000000"/>
        </w:rPr>
      </w:pPr>
      <w:r>
        <w:rPr>
          <w:color w:val="000000"/>
        </w:rPr>
        <w:t xml:space="preserve">Ivison K, Little K, Belcher CM, Crawford AJ, Davidson SJ, Graham LJ &amp; Kettridge N (in review) Citizen science as a tool to investigate landscape controls on fuel moisture and flammability. </w:t>
      </w:r>
      <w:r>
        <w:rPr>
          <w:i/>
          <w:iCs/>
          <w:color w:val="000000"/>
        </w:rPr>
        <w:t xml:space="preserve">Journal of </w:t>
      </w:r>
      <w:proofErr w:type="spellStart"/>
      <w:r>
        <w:rPr>
          <w:i/>
          <w:iCs/>
          <w:color w:val="000000"/>
        </w:rPr>
        <w:t>Pyrogeography</w:t>
      </w:r>
      <w:proofErr w:type="spellEnd"/>
      <w:r>
        <w:rPr>
          <w:i/>
          <w:iCs/>
          <w:color w:val="000000"/>
        </w:rPr>
        <w:t xml:space="preserve">, </w:t>
      </w:r>
      <w:r>
        <w:rPr>
          <w:color w:val="000000"/>
        </w:rPr>
        <w:t>2025, 100002, ISSN 3051-0678, https://doi.org/10.1016/j.pyro.2025.100002.</w:t>
      </w:r>
    </w:p>
    <w:p w14:paraId="2588FC64" w14:textId="77777777" w:rsidR="003F7E0F" w:rsidRDefault="003F7E0F">
      <w:pPr>
        <w:pStyle w:val="BodyText"/>
        <w:spacing w:after="0"/>
        <w:contextualSpacing/>
        <w:rPr>
          <w:color w:val="000000"/>
        </w:rPr>
      </w:pPr>
    </w:p>
    <w:sectPr w:rsidR="003F7E0F">
      <w:pgSz w:w="12240" w:h="15840"/>
      <w:pgMar w:top="1134" w:right="1134" w:bottom="1134" w:left="1134" w:header="0" w:footer="0" w:gutter="0"/>
      <w:cols w:space="720"/>
      <w:formProt w:val="0"/>
      <w:docGrid w:linePitch="31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C1D22" w14:textId="77777777" w:rsidR="001F58CE" w:rsidRDefault="001F58CE">
      <w:r>
        <w:separator/>
      </w:r>
    </w:p>
  </w:endnote>
  <w:endnote w:type="continuationSeparator" w:id="0">
    <w:p w14:paraId="0408CBF3" w14:textId="77777777" w:rsidR="001F58CE" w:rsidRDefault="001F5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erif CJK SC">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default"/>
  </w:font>
  <w:font w:name="Noto Sans CJK S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0C0F8" w14:textId="77777777" w:rsidR="001F58CE" w:rsidRDefault="001F58CE">
      <w:pPr>
        <w:rPr>
          <w:sz w:val="12"/>
        </w:rPr>
      </w:pPr>
      <w:r>
        <w:separator/>
      </w:r>
    </w:p>
  </w:footnote>
  <w:footnote w:type="continuationSeparator" w:id="0">
    <w:p w14:paraId="5E84BFF6" w14:textId="77777777" w:rsidR="001F58CE" w:rsidRDefault="001F58CE">
      <w:pPr>
        <w:rPr>
          <w:sz w:val="12"/>
        </w:rPr>
      </w:pPr>
      <w:r>
        <w:continuationSeparator/>
      </w:r>
    </w:p>
  </w:footnote>
  <w:footnote w:id="1">
    <w:p w14:paraId="2588FC67" w14:textId="77777777" w:rsidR="003F7E0F" w:rsidRDefault="00000000">
      <w:pPr>
        <w:pStyle w:val="FootnoteText"/>
      </w:pPr>
      <w:r>
        <w:rPr>
          <w:rStyle w:val="FootnoteCharacters"/>
        </w:rPr>
        <w:footnoteRef/>
      </w:r>
      <w:r>
        <w:tab/>
        <w:t>University of Birmingham, UK</w:t>
      </w:r>
    </w:p>
  </w:footnote>
  <w:footnote w:id="2">
    <w:p w14:paraId="2588FC68" w14:textId="77777777" w:rsidR="003F7E0F" w:rsidRDefault="00000000">
      <w:pPr>
        <w:pStyle w:val="FootnoteText"/>
      </w:pPr>
      <w:r>
        <w:rPr>
          <w:rStyle w:val="FootnoteCharacters"/>
        </w:rPr>
        <w:footnoteRef/>
      </w:r>
      <w:r>
        <w:tab/>
        <w:t>University of Exeter, UK</w:t>
      </w:r>
    </w:p>
  </w:footnote>
  <w:footnote w:id="3">
    <w:p w14:paraId="2588FC69" w14:textId="77777777" w:rsidR="003F7E0F" w:rsidRDefault="00000000">
      <w:pPr>
        <w:pStyle w:val="FootnoteText"/>
      </w:pPr>
      <w:r>
        <w:rPr>
          <w:rStyle w:val="FootnoteCharacters"/>
        </w:rPr>
        <w:footnoteRef/>
      </w:r>
      <w:r>
        <w:tab/>
        <w:t>Université du Québec à Montréal, Canada</w:t>
      </w:r>
    </w:p>
  </w:footnote>
  <w:footnote w:id="4">
    <w:p w14:paraId="2588FC6A" w14:textId="77777777" w:rsidR="003F7E0F" w:rsidRDefault="00000000">
      <w:pPr>
        <w:pStyle w:val="FootnoteText"/>
      </w:pPr>
      <w:r>
        <w:rPr>
          <w:rStyle w:val="FootnoteCharacters"/>
        </w:rPr>
        <w:footnoteRef/>
      </w:r>
      <w:r>
        <w:tab/>
        <w:t>International Institute for Applied Systems Analysis, Austria</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E0F"/>
    <w:rsid w:val="001348B4"/>
    <w:rsid w:val="001F58CE"/>
    <w:rsid w:val="003F7E0F"/>
    <w:rsid w:val="00721600"/>
    <w:rsid w:val="00790708"/>
    <w:rsid w:val="007B3FF9"/>
    <w:rsid w:val="008D2962"/>
    <w:rsid w:val="00A64F44"/>
    <w:rsid w:val="00CC4AF0"/>
    <w:rsid w:val="00DD3694"/>
    <w:rsid w:val="00EB29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8FC2E"/>
  <w15:docId w15:val="{51985C47-8317-4334-8418-3D9D9CAD6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FreeSans"/>
        <w:kern w:val="2"/>
        <w:sz w:val="24"/>
        <w:szCs w:val="24"/>
        <w:lang w:val="en-GB"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
    <w:next w:val="BodyText"/>
    <w:uiPriority w:val="9"/>
    <w:qFormat/>
    <w:pPr>
      <w:outlineLvl w:val="0"/>
    </w:pPr>
    <w:rPr>
      <w:rFonts w:ascii="Liberation Serif" w:eastAsia="Noto Serif CJK SC" w:hAnsi="Liberation Serif"/>
      <w:b/>
      <w:bCs/>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Pr>
      <w:b/>
      <w:bCs/>
    </w:rPr>
  </w:style>
  <w:style w:type="character" w:customStyle="1" w:styleId="FootnoteCharacters">
    <w:name w:val="Footnote Characters"/>
    <w:qFormat/>
  </w:style>
  <w:style w:type="character" w:styleId="FootnoteReference">
    <w:name w:val="footnote reference"/>
    <w:rPr>
      <w:vertAlign w:val="superscript"/>
    </w:rPr>
  </w:style>
  <w:style w:type="character" w:customStyle="1" w:styleId="EndnoteCharacters">
    <w:name w:val="Endnote Characters"/>
    <w:qFormat/>
  </w:style>
  <w:style w:type="character" w:styleId="EndnoteReference">
    <w:name w:val="endnote reference"/>
    <w:rPr>
      <w:vertAlign w:val="superscript"/>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ormal"/>
    <w:qFormat/>
    <w:rPr>
      <w:sz w:val="20"/>
      <w:szCs w:val="20"/>
    </w:rPr>
  </w:style>
  <w:style w:type="paragraph" w:styleId="FootnoteText">
    <w:name w:val="footnote text"/>
    <w:basedOn w:val="Normal"/>
    <w:pPr>
      <w:suppressLineNumbers/>
      <w:ind w:left="340" w:hanging="340"/>
    </w:pPr>
    <w:rPr>
      <w:sz w:val="20"/>
      <w:szCs w:val="20"/>
    </w:rPr>
  </w:style>
  <w:style w:type="paragraph" w:styleId="EndnoteText">
    <w:name w:val="endnote text"/>
    <w:basedOn w:val="Normal"/>
    <w:pPr>
      <w:suppressLineNumbers/>
      <w:ind w:left="340" w:hanging="34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1305</TotalTime>
  <Pages>3</Pages>
  <Words>765</Words>
  <Characters>4364</Characters>
  <Application>Microsoft Office Word</Application>
  <DocSecurity>0</DocSecurity>
  <Lines>36</Lines>
  <Paragraphs>10</Paragraphs>
  <ScaleCrop>false</ScaleCrop>
  <Company/>
  <LinksUpToDate>false</LinksUpToDate>
  <CharactersWithSpaces>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Wells</cp:lastModifiedBy>
  <cp:revision>7</cp:revision>
  <dcterms:created xsi:type="dcterms:W3CDTF">2026-02-19T14:15:00Z</dcterms:created>
  <dcterms:modified xsi:type="dcterms:W3CDTF">2026-03-02T14:58:00Z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2025-09-18T12:00:47Z</dcterms:created>
  <dc:creator/>
  <dc:description/>
  <dc:language>en-GB</dc:language>
  <cp:lastModifiedBy/>
  <dcterms:modified xsi:type="dcterms:W3CDTF">2026-02-19T13:04:35Z</dcterms:modified>
  <cp:revision>99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ad6e7388-ad3a-4609-af5a-2b70f9d51009</vt:lpwstr>
  </property>
</Properties>
</file>