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9AA82" w14:textId="1B121F3C" w:rsidR="00B77681" w:rsidRDefault="00214824">
      <w:r>
        <w:t>Ground flora monitoring</w:t>
      </w:r>
    </w:p>
    <w:p w14:paraId="4D321BCD" w14:textId="66205759" w:rsidR="00214824" w:rsidRDefault="00214824">
      <w:r>
        <w:t xml:space="preserve">Ground flora and tree sapling species and percentage cover were recorded in nine quadrats (2m x 2m) in each of 15 plots (40m x 40m) at the beginning of May between 2021 and 2024. Descriptions of the habitat type in the different plots can be found in the </w:t>
      </w:r>
      <w:r w:rsidR="00CB50D5">
        <w:t>table below</w:t>
      </w:r>
      <w:r>
        <w:t xml:space="preserve">. Comments are provided for each row to enable quality control depending on the purpose of usage. The data have been provided in long format. </w:t>
      </w:r>
    </w:p>
    <w:p w14:paraId="513C3E52" w14:textId="77777777" w:rsidR="00214824" w:rsidRDefault="00214824"/>
    <w:p w14:paraId="03BF6DB4" w14:textId="5380ABD4" w:rsidR="00161FEE" w:rsidRDefault="00161FEE">
      <w:r>
        <w:t>Metadata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161FEE" w14:paraId="0534516C" w14:textId="77777777" w:rsidTr="00161FEE">
        <w:tc>
          <w:tcPr>
            <w:tcW w:w="2405" w:type="dxa"/>
            <w:vAlign w:val="bottom"/>
          </w:tcPr>
          <w:p w14:paraId="1A0321EE" w14:textId="4E6B216F" w:rsidR="00161FEE" w:rsidRDefault="00161FEE" w:rsidP="00161FEE">
            <w:r>
              <w:rPr>
                <w:rFonts w:ascii="Aptos Narrow" w:hAnsi="Aptos Narrow"/>
                <w:color w:val="000000"/>
              </w:rPr>
              <w:t>Date</w:t>
            </w:r>
          </w:p>
        </w:tc>
        <w:tc>
          <w:tcPr>
            <w:tcW w:w="6611" w:type="dxa"/>
            <w:vAlign w:val="bottom"/>
          </w:tcPr>
          <w:p w14:paraId="05396069" w14:textId="7EEE788F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Date that the monitoring took place. </w:t>
            </w:r>
          </w:p>
        </w:tc>
      </w:tr>
      <w:tr w:rsidR="00161FEE" w14:paraId="319B8693" w14:textId="77777777" w:rsidTr="00161FEE">
        <w:tc>
          <w:tcPr>
            <w:tcW w:w="2405" w:type="dxa"/>
            <w:vAlign w:val="bottom"/>
          </w:tcPr>
          <w:p w14:paraId="43245554" w14:textId="1D9412F7" w:rsidR="00161FEE" w:rsidRDefault="00161FEE" w:rsidP="00161FEE">
            <w:r>
              <w:rPr>
                <w:rFonts w:ascii="Aptos Narrow" w:hAnsi="Aptos Narrow"/>
                <w:color w:val="000000"/>
              </w:rPr>
              <w:t>day</w:t>
            </w:r>
          </w:p>
        </w:tc>
        <w:tc>
          <w:tcPr>
            <w:tcW w:w="6611" w:type="dxa"/>
            <w:vAlign w:val="bottom"/>
          </w:tcPr>
          <w:p w14:paraId="63EA6116" w14:textId="54A861E0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The day monitoring was taking place. </w:t>
            </w:r>
          </w:p>
        </w:tc>
      </w:tr>
      <w:tr w:rsidR="00161FEE" w14:paraId="4A2D027B" w14:textId="77777777" w:rsidTr="00161FEE">
        <w:tc>
          <w:tcPr>
            <w:tcW w:w="2405" w:type="dxa"/>
            <w:vAlign w:val="bottom"/>
          </w:tcPr>
          <w:p w14:paraId="3686795D" w14:textId="5ABFA78A" w:rsidR="00161FEE" w:rsidRDefault="00161FEE" w:rsidP="00161FEE">
            <w:r>
              <w:rPr>
                <w:rFonts w:ascii="Aptos Narrow" w:hAnsi="Aptos Narrow"/>
                <w:color w:val="000000"/>
              </w:rPr>
              <w:t>month</w:t>
            </w:r>
          </w:p>
        </w:tc>
        <w:tc>
          <w:tcPr>
            <w:tcW w:w="6611" w:type="dxa"/>
            <w:vAlign w:val="bottom"/>
          </w:tcPr>
          <w:p w14:paraId="5FEAB4F5" w14:textId="058B38D2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The month monitoring was taking place. </w:t>
            </w:r>
          </w:p>
        </w:tc>
      </w:tr>
      <w:tr w:rsidR="00161FEE" w14:paraId="2E9FC8B9" w14:textId="77777777" w:rsidTr="00161FEE">
        <w:tc>
          <w:tcPr>
            <w:tcW w:w="2405" w:type="dxa"/>
            <w:vAlign w:val="bottom"/>
          </w:tcPr>
          <w:p w14:paraId="3BC4FC9B" w14:textId="490F820B" w:rsidR="00161FEE" w:rsidRDefault="00161FEE" w:rsidP="00161FEE">
            <w:r>
              <w:rPr>
                <w:rFonts w:ascii="Aptos Narrow" w:hAnsi="Aptos Narrow"/>
                <w:color w:val="000000"/>
              </w:rPr>
              <w:t>year</w:t>
            </w:r>
          </w:p>
        </w:tc>
        <w:tc>
          <w:tcPr>
            <w:tcW w:w="6611" w:type="dxa"/>
            <w:vAlign w:val="bottom"/>
          </w:tcPr>
          <w:p w14:paraId="0F1B8A92" w14:textId="72FCAAD9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The year monitoring was taking place. </w:t>
            </w:r>
          </w:p>
        </w:tc>
      </w:tr>
      <w:tr w:rsidR="00161FEE" w14:paraId="461F0D73" w14:textId="77777777" w:rsidTr="00161FEE">
        <w:tc>
          <w:tcPr>
            <w:tcW w:w="2405" w:type="dxa"/>
            <w:vAlign w:val="bottom"/>
          </w:tcPr>
          <w:p w14:paraId="42E43833" w14:textId="62333247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 Location</w:t>
            </w:r>
          </w:p>
        </w:tc>
        <w:tc>
          <w:tcPr>
            <w:tcW w:w="6611" w:type="dxa"/>
            <w:vAlign w:val="bottom"/>
          </w:tcPr>
          <w:p w14:paraId="484CD1F2" w14:textId="435617EC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Five locations across Wytham Woods were surveyed. Three habitat types (A-C) were located in each location. </w:t>
            </w:r>
          </w:p>
        </w:tc>
      </w:tr>
      <w:tr w:rsidR="00161FEE" w14:paraId="54FD80AB" w14:textId="77777777" w:rsidTr="00161FEE">
        <w:tc>
          <w:tcPr>
            <w:tcW w:w="2405" w:type="dxa"/>
            <w:vAlign w:val="bottom"/>
          </w:tcPr>
          <w:p w14:paraId="3053DB21" w14:textId="261523F8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 Habitat</w:t>
            </w:r>
          </w:p>
        </w:tc>
        <w:tc>
          <w:tcPr>
            <w:tcW w:w="6611" w:type="dxa"/>
            <w:vAlign w:val="bottom"/>
          </w:tcPr>
          <w:p w14:paraId="1C0A5F7A" w14:textId="1411B265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Habitats A-C include: A = high ash abundance, all ash trees ring barked in 2020, B = high ash abundance, naturally progressing ash dieback, C = low ash abundance &lt;20% of the tree basal area. </w:t>
            </w:r>
          </w:p>
        </w:tc>
      </w:tr>
      <w:tr w:rsidR="00161FEE" w14:paraId="6EC7EAA7" w14:textId="77777777" w:rsidTr="00161FEE">
        <w:tc>
          <w:tcPr>
            <w:tcW w:w="2405" w:type="dxa"/>
            <w:vAlign w:val="bottom"/>
          </w:tcPr>
          <w:p w14:paraId="1C3E068D" w14:textId="05F5833E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 Quadrat</w:t>
            </w:r>
          </w:p>
        </w:tc>
        <w:tc>
          <w:tcPr>
            <w:tcW w:w="6611" w:type="dxa"/>
            <w:vAlign w:val="bottom"/>
          </w:tcPr>
          <w:p w14:paraId="128E0E51" w14:textId="37F9DEE1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Nine quadrats (1-9) (2mx2m) were placed in a systematic configuration in three rows across each plot (40m x 40m). This number identifies each individual quadrat. </w:t>
            </w:r>
          </w:p>
        </w:tc>
      </w:tr>
      <w:tr w:rsidR="00161FEE" w14:paraId="649CEE07" w14:textId="77777777" w:rsidTr="00161FEE">
        <w:tc>
          <w:tcPr>
            <w:tcW w:w="2405" w:type="dxa"/>
            <w:vAlign w:val="bottom"/>
          </w:tcPr>
          <w:p w14:paraId="0681EF79" w14:textId="6391E327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</w:rPr>
              <w:t>Species_ScientificName</w:t>
            </w:r>
            <w:proofErr w:type="spellEnd"/>
          </w:p>
        </w:tc>
        <w:tc>
          <w:tcPr>
            <w:tcW w:w="6611" w:type="dxa"/>
            <w:vAlign w:val="bottom"/>
          </w:tcPr>
          <w:p w14:paraId="41CCB086" w14:textId="6EC42CC0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Scientific species name of the identified vegetation. </w:t>
            </w:r>
          </w:p>
        </w:tc>
      </w:tr>
      <w:tr w:rsidR="00161FEE" w14:paraId="2969562C" w14:textId="77777777" w:rsidTr="00161FEE">
        <w:tc>
          <w:tcPr>
            <w:tcW w:w="2405" w:type="dxa"/>
            <w:vAlign w:val="bottom"/>
          </w:tcPr>
          <w:p w14:paraId="73646B37" w14:textId="76F5BCEE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</w:rPr>
              <w:t>Species_CommonName</w:t>
            </w:r>
            <w:proofErr w:type="spellEnd"/>
          </w:p>
        </w:tc>
        <w:tc>
          <w:tcPr>
            <w:tcW w:w="6611" w:type="dxa"/>
            <w:vAlign w:val="bottom"/>
          </w:tcPr>
          <w:p w14:paraId="6E7213AA" w14:textId="4C5DE7FA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Common name of the identified vegetation. </w:t>
            </w:r>
          </w:p>
        </w:tc>
      </w:tr>
      <w:tr w:rsidR="00161FEE" w14:paraId="7F179D18" w14:textId="77777777" w:rsidTr="00161FEE">
        <w:tc>
          <w:tcPr>
            <w:tcW w:w="2405" w:type="dxa"/>
            <w:vAlign w:val="bottom"/>
          </w:tcPr>
          <w:p w14:paraId="491BA1BD" w14:textId="499942DA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 </w:t>
            </w:r>
            <w:proofErr w:type="spellStart"/>
            <w:r>
              <w:rPr>
                <w:rFonts w:ascii="Aptos Narrow" w:hAnsi="Aptos Narrow"/>
                <w:color w:val="000000"/>
              </w:rPr>
              <w:t>PercentageCover</w:t>
            </w:r>
            <w:proofErr w:type="spellEnd"/>
          </w:p>
        </w:tc>
        <w:tc>
          <w:tcPr>
            <w:tcW w:w="6611" w:type="dxa"/>
            <w:vAlign w:val="bottom"/>
          </w:tcPr>
          <w:p w14:paraId="44189BA3" w14:textId="17A687A7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The percentage (0-100%) cover of each specimen. In total this can be more than 100% in each quadrat due to the overlap of vegetation in space. </w:t>
            </w:r>
          </w:p>
        </w:tc>
      </w:tr>
      <w:tr w:rsidR="00161FEE" w14:paraId="4A6D8CEF" w14:textId="77777777" w:rsidTr="00161FEE">
        <w:tc>
          <w:tcPr>
            <w:tcW w:w="2405" w:type="dxa"/>
            <w:vAlign w:val="bottom"/>
          </w:tcPr>
          <w:p w14:paraId="47F29C9A" w14:textId="6AAEDF11" w:rsidR="00161FEE" w:rsidRDefault="00161FEE" w:rsidP="00161FEE">
            <w:r>
              <w:rPr>
                <w:rFonts w:ascii="Aptos Narrow" w:hAnsi="Aptos Narrow"/>
                <w:color w:val="000000"/>
              </w:rPr>
              <w:t>comments</w:t>
            </w:r>
          </w:p>
        </w:tc>
        <w:tc>
          <w:tcPr>
            <w:tcW w:w="6611" w:type="dxa"/>
            <w:vAlign w:val="bottom"/>
          </w:tcPr>
          <w:p w14:paraId="416E9597" w14:textId="51B0815E" w:rsidR="00161FEE" w:rsidRDefault="00161FEE" w:rsidP="00161FEE">
            <w:r>
              <w:rPr>
                <w:rFonts w:ascii="Aptos Narrow" w:hAnsi="Aptos Narrow"/>
                <w:color w:val="000000"/>
              </w:rPr>
              <w:t xml:space="preserve">Any comment that may be relevant to the data of that particular sample. </w:t>
            </w:r>
          </w:p>
        </w:tc>
      </w:tr>
    </w:tbl>
    <w:p w14:paraId="3BAF3CA8" w14:textId="77777777" w:rsidR="00161FEE" w:rsidRDefault="00161FEE"/>
    <w:p w14:paraId="218394FA" w14:textId="77777777" w:rsidR="00214824" w:rsidRDefault="00214824"/>
    <w:sectPr w:rsidR="002148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824"/>
    <w:rsid w:val="00161FEE"/>
    <w:rsid w:val="00214824"/>
    <w:rsid w:val="006A546E"/>
    <w:rsid w:val="008B651A"/>
    <w:rsid w:val="009315D7"/>
    <w:rsid w:val="00B77681"/>
    <w:rsid w:val="00C70FCA"/>
    <w:rsid w:val="00CB50D5"/>
    <w:rsid w:val="00CD6120"/>
    <w:rsid w:val="00D3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2939E"/>
  <w15:chartTrackingRefBased/>
  <w15:docId w15:val="{2294AFBB-5E22-4DC0-836A-17962135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8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8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8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8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8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8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8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8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8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8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8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8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8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8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8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8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8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8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8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8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8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8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8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8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8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8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8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8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82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61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Dahlsjo</dc:creator>
  <cp:keywords/>
  <dc:description/>
  <cp:lastModifiedBy>Cecilia Dahlsjo</cp:lastModifiedBy>
  <cp:revision>3</cp:revision>
  <dcterms:created xsi:type="dcterms:W3CDTF">2024-12-02T16:22:00Z</dcterms:created>
  <dcterms:modified xsi:type="dcterms:W3CDTF">2024-12-18T16:56:00Z</dcterms:modified>
</cp:coreProperties>
</file>