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B80F288" w14:textId="3E324CBC" w:rsidR="003F3144" w:rsidRDefault="001970BE">
      <w:pPr>
        <w:rPr>
          <w:rFonts w:asciiTheme="majorHAnsi" w:eastAsiaTheme="majorEastAsia" w:hAnsiTheme="majorHAnsi" w:cstheme="majorBidi"/>
          <w:color w:val="0F4761" w:themeColor="accent1" w:themeShade="BF"/>
          <w:sz w:val="40"/>
          <w:szCs w:val="40"/>
        </w:rPr>
      </w:pPr>
      <w:r>
        <w:rPr>
          <w:rFonts w:asciiTheme="majorHAnsi" w:eastAsiaTheme="majorEastAsia" w:hAnsiTheme="majorHAnsi" w:cstheme="majorBidi"/>
          <w:color w:val="0F4761" w:themeColor="accent1" w:themeShade="BF"/>
          <w:sz w:val="40"/>
          <w:szCs w:val="40"/>
        </w:rPr>
        <w:t>National</w:t>
      </w:r>
      <w:r w:rsidR="00435C02" w:rsidRPr="00435C02">
        <w:rPr>
          <w:rFonts w:asciiTheme="majorHAnsi" w:eastAsiaTheme="majorEastAsia" w:hAnsiTheme="majorHAnsi" w:cstheme="majorBidi"/>
          <w:color w:val="0F4761" w:themeColor="accent1" w:themeShade="BF"/>
          <w:sz w:val="40"/>
          <w:szCs w:val="40"/>
        </w:rPr>
        <w:t xml:space="preserve"> denitrification rates at salt marshes. Sep</w:t>
      </w:r>
      <w:r>
        <w:rPr>
          <w:rFonts w:asciiTheme="majorHAnsi" w:eastAsiaTheme="majorEastAsia" w:hAnsiTheme="majorHAnsi" w:cstheme="majorBidi"/>
          <w:color w:val="0F4761" w:themeColor="accent1" w:themeShade="BF"/>
          <w:sz w:val="40"/>
          <w:szCs w:val="40"/>
        </w:rPr>
        <w:t xml:space="preserve"> – Nov </w:t>
      </w:r>
      <w:r w:rsidR="00435C02" w:rsidRPr="00435C02">
        <w:rPr>
          <w:rFonts w:asciiTheme="majorHAnsi" w:eastAsiaTheme="majorEastAsia" w:hAnsiTheme="majorHAnsi" w:cstheme="majorBidi"/>
          <w:color w:val="0F4761" w:themeColor="accent1" w:themeShade="BF"/>
          <w:sz w:val="40"/>
          <w:szCs w:val="40"/>
        </w:rPr>
        <w:t>2024</w:t>
      </w:r>
    </w:p>
    <w:p w14:paraId="2494570D" w14:textId="625FF592" w:rsidR="00442252" w:rsidRDefault="002C4291" w:rsidP="002C4291">
      <w:r w:rsidRPr="002C4291">
        <w:t xml:space="preserve">Author(s): Michael P. Perring*, UK Centre for Ecology and Hydrology (UKCEH); Dan Aberg*, Bangor University (BU); Paula Maria de la Barra UKCEH; Sophie Marshall-Potter, BU; Tree Oswald, BU; Lucy McMahon, Manchester Metropolitan University (MMU); Hannah Mossman, MMU; Joanna Harley, UKCEH; John Spill, UKCEH; Simon Oakley, UKCEH; Victor </w:t>
      </w:r>
      <w:proofErr w:type="spellStart"/>
      <w:r w:rsidRPr="002C4291">
        <w:t>Ebuele</w:t>
      </w:r>
      <w:proofErr w:type="spellEnd"/>
      <w:r w:rsidRPr="002C4291">
        <w:t xml:space="preserve">, UKCEH; Inma Lebron, UKCEH; Susan Tandy, UKCEH; Annette Burden, UKCEH; Christian Dunn, BU; Angus Garbutt, UKCEH. </w:t>
      </w:r>
    </w:p>
    <w:p w14:paraId="42A33ACB" w14:textId="5172A61A" w:rsidR="00ED5172" w:rsidRDefault="00ED5172" w:rsidP="002C4291">
      <w:r w:rsidRPr="00ED5172">
        <w:t>*: Joint first authors</w:t>
      </w:r>
    </w:p>
    <w:p w14:paraId="3813481E" w14:textId="77777777" w:rsidR="00435C02" w:rsidRDefault="00435C02"/>
    <w:p w14:paraId="6CE13E6B" w14:textId="4DAC9ED3" w:rsidR="003F3144" w:rsidRDefault="003F3144" w:rsidP="003F3144">
      <w:pPr>
        <w:pStyle w:val="Heading2"/>
      </w:pPr>
      <w:bookmarkStart w:id="0" w:name="_Toc213154132"/>
      <w:r>
        <w:t>Summary</w:t>
      </w:r>
      <w:bookmarkEnd w:id="0"/>
    </w:p>
    <w:p w14:paraId="31C93E97" w14:textId="202DCAFC" w:rsidR="003F3144" w:rsidRDefault="003F3144" w:rsidP="00337F8C">
      <w:pPr>
        <w:spacing w:before="240" w:after="120" w:line="276" w:lineRule="auto"/>
        <w:rPr>
          <w:szCs w:val="24"/>
        </w:rPr>
      </w:pPr>
      <w:r w:rsidRPr="003F3144">
        <w:rPr>
          <w:szCs w:val="24"/>
        </w:rPr>
        <w:t>A key ecosystem service in coastal systems is remediation of nutrient pollution through sediment burial, vegetative uptake and microbial processing. Denitrification is a facultative anaerobic process where microbial activity transforms nitrate (NO</w:t>
      </w:r>
      <w:r w:rsidRPr="003F3144">
        <w:rPr>
          <w:szCs w:val="24"/>
          <w:vertAlign w:val="subscript"/>
        </w:rPr>
        <w:t>3</w:t>
      </w:r>
      <w:r w:rsidRPr="003F3144">
        <w:rPr>
          <w:szCs w:val="24"/>
          <w:vertAlign w:val="superscript"/>
        </w:rPr>
        <w:t>-</w:t>
      </w:r>
      <w:r w:rsidRPr="003F3144">
        <w:rPr>
          <w:szCs w:val="24"/>
        </w:rPr>
        <w:t>), which in high concentrations can be environmentally harmful, into the environmentally benign dinitrogen gas (N</w:t>
      </w:r>
      <w:r w:rsidRPr="003F3144">
        <w:rPr>
          <w:szCs w:val="24"/>
          <w:vertAlign w:val="subscript"/>
        </w:rPr>
        <w:t>2</w:t>
      </w:r>
      <w:r w:rsidRPr="003F3144">
        <w:rPr>
          <w:szCs w:val="24"/>
        </w:rPr>
        <w:t>). Denitrification’s magnitude is considered particularly important in saltmarsh systems compared to other habitats, although an intermediate product, nitrous oxide (N</w:t>
      </w:r>
      <w:r w:rsidRPr="003F3144">
        <w:rPr>
          <w:szCs w:val="24"/>
          <w:vertAlign w:val="subscript"/>
        </w:rPr>
        <w:t>2</w:t>
      </w:r>
      <w:r w:rsidRPr="003F3144">
        <w:rPr>
          <w:szCs w:val="24"/>
        </w:rPr>
        <w:t>O), can also be given off and contribute to climate change.</w:t>
      </w:r>
      <w:r>
        <w:rPr>
          <w:szCs w:val="24"/>
        </w:rPr>
        <w:t xml:space="preserve"> </w:t>
      </w:r>
    </w:p>
    <w:p w14:paraId="4C3D0A54" w14:textId="78958DC0" w:rsidR="003F3144" w:rsidRPr="00B07E20" w:rsidRDefault="003F3144" w:rsidP="003F3144">
      <w:pPr>
        <w:rPr>
          <w:color w:val="FF0000"/>
        </w:rPr>
      </w:pPr>
      <w:r>
        <w:rPr>
          <w:szCs w:val="24"/>
        </w:rPr>
        <w:t xml:space="preserve">Here, we improve the evidence base on denitrification, and potential relationships with purported drivers, through a </w:t>
      </w:r>
      <w:r w:rsidR="005A0490">
        <w:rPr>
          <w:szCs w:val="24"/>
        </w:rPr>
        <w:t>national</w:t>
      </w:r>
      <w:r>
        <w:rPr>
          <w:szCs w:val="24"/>
        </w:rPr>
        <w:t xml:space="preserve"> study of denitrification rates in saltmarsh. Using a combination of classic vegetation survey techniques, core extraction, and subsequent laboratory processing, we aim to quantify relative variation in denitrification rates across environmental contexts.</w:t>
      </w:r>
    </w:p>
    <w:p w14:paraId="361DF774" w14:textId="02B997B9" w:rsidR="003F3144" w:rsidRDefault="00B706E1" w:rsidP="00B706E1">
      <w:pPr>
        <w:spacing w:before="240" w:after="120" w:line="276" w:lineRule="auto"/>
      </w:pPr>
      <w:r>
        <w:t xml:space="preserve">We surveyed two </w:t>
      </w:r>
      <w:r w:rsidR="00B7511B">
        <w:t>salt marshes</w:t>
      </w:r>
      <w:r>
        <w:t xml:space="preserve"> in each of six estuaries </w:t>
      </w:r>
      <w:r w:rsidR="00A92772">
        <w:t>(</w:t>
      </w:r>
      <w:r w:rsidR="008A0B53">
        <w:t xml:space="preserve">Solway, Morecambe Bay, </w:t>
      </w:r>
      <w:r w:rsidR="00574028">
        <w:t>Ribble, Humber, Blackwater, Chichester</w:t>
      </w:r>
      <w:r w:rsidR="00A92772">
        <w:t xml:space="preserve">) </w:t>
      </w:r>
      <w:r>
        <w:t xml:space="preserve">between September and November 2024 </w:t>
      </w:r>
      <w:r w:rsidR="003F3144">
        <w:t xml:space="preserve">to characterise </w:t>
      </w:r>
      <w:r w:rsidR="00532D60">
        <w:t xml:space="preserve">national differences in </w:t>
      </w:r>
      <w:r w:rsidR="003F3144">
        <w:t xml:space="preserve">denitrification </w:t>
      </w:r>
      <w:r w:rsidR="00532D60">
        <w:t xml:space="preserve">rates and </w:t>
      </w:r>
      <w:r w:rsidR="003B2BF0">
        <w:t>their</w:t>
      </w:r>
      <w:r w:rsidR="00532D60">
        <w:t xml:space="preserve"> relationship with </w:t>
      </w:r>
      <w:r w:rsidR="00CF0723">
        <w:t>potential drivers</w:t>
      </w:r>
      <w:r w:rsidR="003F3144">
        <w:t>.</w:t>
      </w:r>
    </w:p>
    <w:p w14:paraId="17EBDB6B" w14:textId="3F2B40C5" w:rsidR="00466419" w:rsidRDefault="00A55D3E" w:rsidP="003F3144">
      <w:pPr>
        <w:spacing w:before="240" w:after="120" w:line="276" w:lineRule="auto"/>
      </w:pPr>
      <w:r>
        <w:t>This data accompanies the technical report</w:t>
      </w:r>
      <w:r w:rsidR="00DB7293">
        <w:t xml:space="preserve"> “</w:t>
      </w:r>
      <w:r w:rsidR="00DB7293" w:rsidRPr="00DB7293">
        <w:t>Denitrification dynamics and relationships with potential drivers across English saltmarshes, seagrass beds, and mudflats: Capturing national variation in space and time</w:t>
      </w:r>
      <w:r w:rsidR="00DB7293">
        <w:t>”</w:t>
      </w:r>
    </w:p>
    <w:sdt>
      <w:sdtPr>
        <w:rPr>
          <w:rFonts w:asciiTheme="minorHAnsi" w:eastAsiaTheme="minorHAnsi" w:hAnsiTheme="minorHAnsi" w:cstheme="minorBidi"/>
          <w:color w:val="auto"/>
          <w:kern w:val="2"/>
          <w:sz w:val="22"/>
          <w:szCs w:val="22"/>
          <w:lang w:eastAsia="en-US"/>
          <w14:ligatures w14:val="standardContextual"/>
        </w:rPr>
        <w:id w:val="1310598820"/>
        <w:docPartObj>
          <w:docPartGallery w:val="Table of Contents"/>
          <w:docPartUnique/>
        </w:docPartObj>
      </w:sdtPr>
      <w:sdtEndPr>
        <w:rPr>
          <w:b/>
          <w:bCs/>
        </w:rPr>
      </w:sdtEndPr>
      <w:sdtContent>
        <w:p w14:paraId="4DD70387" w14:textId="338C43BC" w:rsidR="00466419" w:rsidRDefault="00466419">
          <w:pPr>
            <w:pStyle w:val="TOCHeading"/>
          </w:pPr>
          <w:r>
            <w:t>Contents</w:t>
          </w:r>
        </w:p>
        <w:p w14:paraId="3454DEF4" w14:textId="0A8F2139" w:rsidR="00B7511B" w:rsidRDefault="00466419">
          <w:pPr>
            <w:pStyle w:val="TOC2"/>
            <w:tabs>
              <w:tab w:val="right" w:leader="dot" w:pos="9016"/>
            </w:tabs>
            <w:rPr>
              <w:rFonts w:eastAsiaTheme="minorEastAsia"/>
              <w:noProof/>
              <w:sz w:val="24"/>
              <w:szCs w:val="24"/>
              <w:lang w:eastAsia="en-GB"/>
            </w:rPr>
          </w:pPr>
          <w:r>
            <w:fldChar w:fldCharType="begin"/>
          </w:r>
          <w:r>
            <w:instrText xml:space="preserve"> TOC \o "1-3" \h \z \u </w:instrText>
          </w:r>
          <w:r>
            <w:fldChar w:fldCharType="separate"/>
          </w:r>
          <w:hyperlink w:anchor="_Toc213154132" w:history="1">
            <w:r w:rsidR="00B7511B" w:rsidRPr="00D0014E">
              <w:rPr>
                <w:rStyle w:val="Hyperlink"/>
                <w:noProof/>
              </w:rPr>
              <w:t>Summary</w:t>
            </w:r>
            <w:r w:rsidR="00B7511B">
              <w:rPr>
                <w:noProof/>
                <w:webHidden/>
              </w:rPr>
              <w:tab/>
            </w:r>
            <w:r w:rsidR="00B7511B">
              <w:rPr>
                <w:noProof/>
                <w:webHidden/>
              </w:rPr>
              <w:fldChar w:fldCharType="begin"/>
            </w:r>
            <w:r w:rsidR="00B7511B">
              <w:rPr>
                <w:noProof/>
                <w:webHidden/>
              </w:rPr>
              <w:instrText xml:space="preserve"> PAGEREF _Toc213154132 \h </w:instrText>
            </w:r>
            <w:r w:rsidR="00B7511B">
              <w:rPr>
                <w:noProof/>
                <w:webHidden/>
              </w:rPr>
            </w:r>
            <w:r w:rsidR="00B7511B">
              <w:rPr>
                <w:noProof/>
                <w:webHidden/>
              </w:rPr>
              <w:fldChar w:fldCharType="separate"/>
            </w:r>
            <w:r w:rsidR="00B7511B">
              <w:rPr>
                <w:noProof/>
                <w:webHidden/>
              </w:rPr>
              <w:t>1</w:t>
            </w:r>
            <w:r w:rsidR="00B7511B">
              <w:rPr>
                <w:noProof/>
                <w:webHidden/>
              </w:rPr>
              <w:fldChar w:fldCharType="end"/>
            </w:r>
          </w:hyperlink>
        </w:p>
        <w:p w14:paraId="36F9F489" w14:textId="14ABD3A9" w:rsidR="00B7511B" w:rsidRDefault="00B7511B">
          <w:pPr>
            <w:pStyle w:val="TOC2"/>
            <w:tabs>
              <w:tab w:val="right" w:leader="dot" w:pos="9016"/>
            </w:tabs>
            <w:rPr>
              <w:rFonts w:eastAsiaTheme="minorEastAsia"/>
              <w:noProof/>
              <w:sz w:val="24"/>
              <w:szCs w:val="24"/>
              <w:lang w:eastAsia="en-GB"/>
            </w:rPr>
          </w:pPr>
          <w:hyperlink w:anchor="_Toc213154133" w:history="1">
            <w:r w:rsidRPr="00D0014E">
              <w:rPr>
                <w:rStyle w:val="Hyperlink"/>
                <w:noProof/>
              </w:rPr>
              <w:t>Files included</w:t>
            </w:r>
            <w:r>
              <w:rPr>
                <w:noProof/>
                <w:webHidden/>
              </w:rPr>
              <w:tab/>
            </w:r>
            <w:r>
              <w:rPr>
                <w:noProof/>
                <w:webHidden/>
              </w:rPr>
              <w:fldChar w:fldCharType="begin"/>
            </w:r>
            <w:r>
              <w:rPr>
                <w:noProof/>
                <w:webHidden/>
              </w:rPr>
              <w:instrText xml:space="preserve"> PAGEREF _Toc213154133 \h </w:instrText>
            </w:r>
            <w:r>
              <w:rPr>
                <w:noProof/>
                <w:webHidden/>
              </w:rPr>
            </w:r>
            <w:r>
              <w:rPr>
                <w:noProof/>
                <w:webHidden/>
              </w:rPr>
              <w:fldChar w:fldCharType="separate"/>
            </w:r>
            <w:r>
              <w:rPr>
                <w:noProof/>
                <w:webHidden/>
              </w:rPr>
              <w:t>2</w:t>
            </w:r>
            <w:r>
              <w:rPr>
                <w:noProof/>
                <w:webHidden/>
              </w:rPr>
              <w:fldChar w:fldCharType="end"/>
            </w:r>
          </w:hyperlink>
        </w:p>
        <w:p w14:paraId="2E26EC19" w14:textId="3DED5A4D" w:rsidR="00B7511B" w:rsidRDefault="00B7511B">
          <w:pPr>
            <w:pStyle w:val="TOC2"/>
            <w:tabs>
              <w:tab w:val="right" w:leader="dot" w:pos="9016"/>
            </w:tabs>
            <w:rPr>
              <w:rFonts w:eastAsiaTheme="minorEastAsia"/>
              <w:noProof/>
              <w:sz w:val="24"/>
              <w:szCs w:val="24"/>
              <w:lang w:eastAsia="en-GB"/>
            </w:rPr>
          </w:pPr>
          <w:hyperlink w:anchor="_Toc213154134" w:history="1">
            <w:r w:rsidRPr="00D0014E">
              <w:rPr>
                <w:rStyle w:val="Hyperlink"/>
                <w:noProof/>
              </w:rPr>
              <w:t>Spatial and temporal coverage</w:t>
            </w:r>
            <w:r>
              <w:rPr>
                <w:noProof/>
                <w:webHidden/>
              </w:rPr>
              <w:tab/>
            </w:r>
            <w:r>
              <w:rPr>
                <w:noProof/>
                <w:webHidden/>
              </w:rPr>
              <w:fldChar w:fldCharType="begin"/>
            </w:r>
            <w:r>
              <w:rPr>
                <w:noProof/>
                <w:webHidden/>
              </w:rPr>
              <w:instrText xml:space="preserve"> PAGEREF _Toc213154134 \h </w:instrText>
            </w:r>
            <w:r>
              <w:rPr>
                <w:noProof/>
                <w:webHidden/>
              </w:rPr>
            </w:r>
            <w:r>
              <w:rPr>
                <w:noProof/>
                <w:webHidden/>
              </w:rPr>
              <w:fldChar w:fldCharType="separate"/>
            </w:r>
            <w:r>
              <w:rPr>
                <w:noProof/>
                <w:webHidden/>
              </w:rPr>
              <w:t>3</w:t>
            </w:r>
            <w:r>
              <w:rPr>
                <w:noProof/>
                <w:webHidden/>
              </w:rPr>
              <w:fldChar w:fldCharType="end"/>
            </w:r>
          </w:hyperlink>
        </w:p>
        <w:p w14:paraId="263C3F6B" w14:textId="0375CFCA" w:rsidR="00B7511B" w:rsidRDefault="00B7511B">
          <w:pPr>
            <w:pStyle w:val="TOC2"/>
            <w:tabs>
              <w:tab w:val="right" w:leader="dot" w:pos="9016"/>
            </w:tabs>
            <w:rPr>
              <w:rFonts w:eastAsiaTheme="minorEastAsia"/>
              <w:noProof/>
              <w:sz w:val="24"/>
              <w:szCs w:val="24"/>
              <w:lang w:eastAsia="en-GB"/>
            </w:rPr>
          </w:pPr>
          <w:hyperlink w:anchor="_Toc213154135" w:history="1">
            <w:r w:rsidRPr="00D0014E">
              <w:rPr>
                <w:rStyle w:val="Hyperlink"/>
                <w:noProof/>
              </w:rPr>
              <w:t>Sampling regime and experimental design</w:t>
            </w:r>
            <w:r>
              <w:rPr>
                <w:noProof/>
                <w:webHidden/>
              </w:rPr>
              <w:tab/>
            </w:r>
            <w:r>
              <w:rPr>
                <w:noProof/>
                <w:webHidden/>
              </w:rPr>
              <w:fldChar w:fldCharType="begin"/>
            </w:r>
            <w:r>
              <w:rPr>
                <w:noProof/>
                <w:webHidden/>
              </w:rPr>
              <w:instrText xml:space="preserve"> PAGEREF _Toc213154135 \h </w:instrText>
            </w:r>
            <w:r>
              <w:rPr>
                <w:noProof/>
                <w:webHidden/>
              </w:rPr>
            </w:r>
            <w:r>
              <w:rPr>
                <w:noProof/>
                <w:webHidden/>
              </w:rPr>
              <w:fldChar w:fldCharType="separate"/>
            </w:r>
            <w:r>
              <w:rPr>
                <w:noProof/>
                <w:webHidden/>
              </w:rPr>
              <w:t>3</w:t>
            </w:r>
            <w:r>
              <w:rPr>
                <w:noProof/>
                <w:webHidden/>
              </w:rPr>
              <w:fldChar w:fldCharType="end"/>
            </w:r>
          </w:hyperlink>
        </w:p>
        <w:p w14:paraId="7059B885" w14:textId="7D456085" w:rsidR="00B7511B" w:rsidRDefault="00B7511B">
          <w:pPr>
            <w:pStyle w:val="TOC3"/>
            <w:tabs>
              <w:tab w:val="right" w:leader="dot" w:pos="9016"/>
            </w:tabs>
            <w:rPr>
              <w:rFonts w:eastAsiaTheme="minorEastAsia"/>
              <w:noProof/>
              <w:sz w:val="24"/>
              <w:szCs w:val="24"/>
              <w:lang w:eastAsia="en-GB"/>
            </w:rPr>
          </w:pPr>
          <w:hyperlink w:anchor="_Toc213154136" w:history="1">
            <w:r w:rsidRPr="00D0014E">
              <w:rPr>
                <w:rStyle w:val="Hyperlink"/>
                <w:noProof/>
              </w:rPr>
              <w:t>Saltmarsh Vegetation Community</w:t>
            </w:r>
            <w:r>
              <w:rPr>
                <w:noProof/>
                <w:webHidden/>
              </w:rPr>
              <w:tab/>
            </w:r>
            <w:r>
              <w:rPr>
                <w:noProof/>
                <w:webHidden/>
              </w:rPr>
              <w:fldChar w:fldCharType="begin"/>
            </w:r>
            <w:r>
              <w:rPr>
                <w:noProof/>
                <w:webHidden/>
              </w:rPr>
              <w:instrText xml:space="preserve"> PAGEREF _Toc213154136 \h </w:instrText>
            </w:r>
            <w:r>
              <w:rPr>
                <w:noProof/>
                <w:webHidden/>
              </w:rPr>
            </w:r>
            <w:r>
              <w:rPr>
                <w:noProof/>
                <w:webHidden/>
              </w:rPr>
              <w:fldChar w:fldCharType="separate"/>
            </w:r>
            <w:r>
              <w:rPr>
                <w:noProof/>
                <w:webHidden/>
              </w:rPr>
              <w:t>4</w:t>
            </w:r>
            <w:r>
              <w:rPr>
                <w:noProof/>
                <w:webHidden/>
              </w:rPr>
              <w:fldChar w:fldCharType="end"/>
            </w:r>
          </w:hyperlink>
        </w:p>
        <w:p w14:paraId="3D08BF8D" w14:textId="27760EB9" w:rsidR="00B7511B" w:rsidRDefault="00B7511B">
          <w:pPr>
            <w:pStyle w:val="TOC3"/>
            <w:tabs>
              <w:tab w:val="right" w:leader="dot" w:pos="9016"/>
            </w:tabs>
            <w:rPr>
              <w:rFonts w:eastAsiaTheme="minorEastAsia"/>
              <w:noProof/>
              <w:sz w:val="24"/>
              <w:szCs w:val="24"/>
              <w:lang w:eastAsia="en-GB"/>
            </w:rPr>
          </w:pPr>
          <w:hyperlink w:anchor="_Toc213154137" w:history="1">
            <w:r w:rsidRPr="00D0014E">
              <w:rPr>
                <w:rStyle w:val="Hyperlink"/>
                <w:noProof/>
              </w:rPr>
              <w:t>Saltmarsh Denitrification and Sediment Characterisation: Sample Collection for Analysis</w:t>
            </w:r>
            <w:r>
              <w:rPr>
                <w:noProof/>
                <w:webHidden/>
              </w:rPr>
              <w:tab/>
            </w:r>
            <w:r>
              <w:rPr>
                <w:noProof/>
                <w:webHidden/>
              </w:rPr>
              <w:fldChar w:fldCharType="begin"/>
            </w:r>
            <w:r>
              <w:rPr>
                <w:noProof/>
                <w:webHidden/>
              </w:rPr>
              <w:instrText xml:space="preserve"> PAGEREF _Toc213154137 \h </w:instrText>
            </w:r>
            <w:r>
              <w:rPr>
                <w:noProof/>
                <w:webHidden/>
              </w:rPr>
            </w:r>
            <w:r>
              <w:rPr>
                <w:noProof/>
                <w:webHidden/>
              </w:rPr>
              <w:fldChar w:fldCharType="separate"/>
            </w:r>
            <w:r>
              <w:rPr>
                <w:noProof/>
                <w:webHidden/>
              </w:rPr>
              <w:t>5</w:t>
            </w:r>
            <w:r>
              <w:rPr>
                <w:noProof/>
                <w:webHidden/>
              </w:rPr>
              <w:fldChar w:fldCharType="end"/>
            </w:r>
          </w:hyperlink>
        </w:p>
        <w:p w14:paraId="13A95A2B" w14:textId="2F951312" w:rsidR="00B7511B" w:rsidRDefault="00B7511B">
          <w:pPr>
            <w:pStyle w:val="TOC3"/>
            <w:tabs>
              <w:tab w:val="right" w:leader="dot" w:pos="9016"/>
            </w:tabs>
            <w:rPr>
              <w:rFonts w:eastAsiaTheme="minorEastAsia"/>
              <w:noProof/>
              <w:sz w:val="24"/>
              <w:szCs w:val="24"/>
              <w:lang w:eastAsia="en-GB"/>
            </w:rPr>
          </w:pPr>
          <w:hyperlink w:anchor="_Toc213154138" w:history="1">
            <w:r w:rsidRPr="00D0014E">
              <w:rPr>
                <w:rStyle w:val="Hyperlink"/>
                <w:noProof/>
              </w:rPr>
              <w:t>Saltmarsh Porewater and Estuarine Water Tidal Sample Collection</w:t>
            </w:r>
            <w:r>
              <w:rPr>
                <w:noProof/>
                <w:webHidden/>
              </w:rPr>
              <w:tab/>
            </w:r>
            <w:r>
              <w:rPr>
                <w:noProof/>
                <w:webHidden/>
              </w:rPr>
              <w:fldChar w:fldCharType="begin"/>
            </w:r>
            <w:r>
              <w:rPr>
                <w:noProof/>
                <w:webHidden/>
              </w:rPr>
              <w:instrText xml:space="preserve"> PAGEREF _Toc213154138 \h </w:instrText>
            </w:r>
            <w:r>
              <w:rPr>
                <w:noProof/>
                <w:webHidden/>
              </w:rPr>
            </w:r>
            <w:r>
              <w:rPr>
                <w:noProof/>
                <w:webHidden/>
              </w:rPr>
              <w:fldChar w:fldCharType="separate"/>
            </w:r>
            <w:r>
              <w:rPr>
                <w:noProof/>
                <w:webHidden/>
              </w:rPr>
              <w:t>5</w:t>
            </w:r>
            <w:r>
              <w:rPr>
                <w:noProof/>
                <w:webHidden/>
              </w:rPr>
              <w:fldChar w:fldCharType="end"/>
            </w:r>
          </w:hyperlink>
        </w:p>
        <w:p w14:paraId="62F4E435" w14:textId="0281E2E2" w:rsidR="00B7511B" w:rsidRDefault="00B7511B">
          <w:pPr>
            <w:pStyle w:val="TOC2"/>
            <w:tabs>
              <w:tab w:val="right" w:leader="dot" w:pos="9016"/>
            </w:tabs>
            <w:rPr>
              <w:rFonts w:eastAsiaTheme="minorEastAsia"/>
              <w:noProof/>
              <w:sz w:val="24"/>
              <w:szCs w:val="24"/>
              <w:lang w:eastAsia="en-GB"/>
            </w:rPr>
          </w:pPr>
          <w:hyperlink w:anchor="_Toc213154139" w:history="1">
            <w:r w:rsidRPr="00D0014E">
              <w:rPr>
                <w:rStyle w:val="Hyperlink"/>
                <w:noProof/>
              </w:rPr>
              <w:t>Laboratory Analyses</w:t>
            </w:r>
            <w:r>
              <w:rPr>
                <w:noProof/>
                <w:webHidden/>
              </w:rPr>
              <w:tab/>
            </w:r>
            <w:r>
              <w:rPr>
                <w:noProof/>
                <w:webHidden/>
              </w:rPr>
              <w:fldChar w:fldCharType="begin"/>
            </w:r>
            <w:r>
              <w:rPr>
                <w:noProof/>
                <w:webHidden/>
              </w:rPr>
              <w:instrText xml:space="preserve"> PAGEREF _Toc213154139 \h </w:instrText>
            </w:r>
            <w:r>
              <w:rPr>
                <w:noProof/>
                <w:webHidden/>
              </w:rPr>
            </w:r>
            <w:r>
              <w:rPr>
                <w:noProof/>
                <w:webHidden/>
              </w:rPr>
              <w:fldChar w:fldCharType="separate"/>
            </w:r>
            <w:r>
              <w:rPr>
                <w:noProof/>
                <w:webHidden/>
              </w:rPr>
              <w:t>6</w:t>
            </w:r>
            <w:r>
              <w:rPr>
                <w:noProof/>
                <w:webHidden/>
              </w:rPr>
              <w:fldChar w:fldCharType="end"/>
            </w:r>
          </w:hyperlink>
        </w:p>
        <w:p w14:paraId="67E3B51F" w14:textId="1C964B54" w:rsidR="00B7511B" w:rsidRDefault="00B7511B">
          <w:pPr>
            <w:pStyle w:val="TOC3"/>
            <w:tabs>
              <w:tab w:val="right" w:leader="dot" w:pos="9016"/>
            </w:tabs>
            <w:rPr>
              <w:rFonts w:eastAsiaTheme="minorEastAsia"/>
              <w:noProof/>
              <w:sz w:val="24"/>
              <w:szCs w:val="24"/>
              <w:lang w:eastAsia="en-GB"/>
            </w:rPr>
          </w:pPr>
          <w:hyperlink w:anchor="_Toc213154140" w:history="1">
            <w:r w:rsidRPr="00D0014E">
              <w:rPr>
                <w:rStyle w:val="Hyperlink"/>
                <w:noProof/>
              </w:rPr>
              <w:t>Denitrification Dynamics: The Wetland Hydroperiod Simulator Approach</w:t>
            </w:r>
            <w:r>
              <w:rPr>
                <w:noProof/>
                <w:webHidden/>
              </w:rPr>
              <w:tab/>
            </w:r>
            <w:r>
              <w:rPr>
                <w:noProof/>
                <w:webHidden/>
              </w:rPr>
              <w:fldChar w:fldCharType="begin"/>
            </w:r>
            <w:r>
              <w:rPr>
                <w:noProof/>
                <w:webHidden/>
              </w:rPr>
              <w:instrText xml:space="preserve"> PAGEREF _Toc213154140 \h </w:instrText>
            </w:r>
            <w:r>
              <w:rPr>
                <w:noProof/>
                <w:webHidden/>
              </w:rPr>
            </w:r>
            <w:r>
              <w:rPr>
                <w:noProof/>
                <w:webHidden/>
              </w:rPr>
              <w:fldChar w:fldCharType="separate"/>
            </w:r>
            <w:r>
              <w:rPr>
                <w:noProof/>
                <w:webHidden/>
              </w:rPr>
              <w:t>6</w:t>
            </w:r>
            <w:r>
              <w:rPr>
                <w:noProof/>
                <w:webHidden/>
              </w:rPr>
              <w:fldChar w:fldCharType="end"/>
            </w:r>
          </w:hyperlink>
        </w:p>
        <w:p w14:paraId="25A8475F" w14:textId="390F65C0" w:rsidR="00B7511B" w:rsidRDefault="00B7511B">
          <w:pPr>
            <w:pStyle w:val="TOC3"/>
            <w:tabs>
              <w:tab w:val="right" w:leader="dot" w:pos="9016"/>
            </w:tabs>
            <w:rPr>
              <w:rFonts w:eastAsiaTheme="minorEastAsia"/>
              <w:noProof/>
              <w:sz w:val="24"/>
              <w:szCs w:val="24"/>
              <w:lang w:eastAsia="en-GB"/>
            </w:rPr>
          </w:pPr>
          <w:hyperlink w:anchor="_Toc213154141" w:history="1">
            <w:r w:rsidRPr="00D0014E">
              <w:rPr>
                <w:rStyle w:val="Hyperlink"/>
                <w:noProof/>
              </w:rPr>
              <w:t>Denitrification Dynamics: Gas Analysis</w:t>
            </w:r>
            <w:r>
              <w:rPr>
                <w:noProof/>
                <w:webHidden/>
              </w:rPr>
              <w:tab/>
            </w:r>
            <w:r>
              <w:rPr>
                <w:noProof/>
                <w:webHidden/>
              </w:rPr>
              <w:fldChar w:fldCharType="begin"/>
            </w:r>
            <w:r>
              <w:rPr>
                <w:noProof/>
                <w:webHidden/>
              </w:rPr>
              <w:instrText xml:space="preserve"> PAGEREF _Toc213154141 \h </w:instrText>
            </w:r>
            <w:r>
              <w:rPr>
                <w:noProof/>
                <w:webHidden/>
              </w:rPr>
            </w:r>
            <w:r>
              <w:rPr>
                <w:noProof/>
                <w:webHidden/>
              </w:rPr>
              <w:fldChar w:fldCharType="separate"/>
            </w:r>
            <w:r>
              <w:rPr>
                <w:noProof/>
                <w:webHidden/>
              </w:rPr>
              <w:t>7</w:t>
            </w:r>
            <w:r>
              <w:rPr>
                <w:noProof/>
                <w:webHidden/>
              </w:rPr>
              <w:fldChar w:fldCharType="end"/>
            </w:r>
          </w:hyperlink>
        </w:p>
        <w:p w14:paraId="43C6CA93" w14:textId="58767290" w:rsidR="00B7511B" w:rsidRDefault="00B7511B">
          <w:pPr>
            <w:pStyle w:val="TOC3"/>
            <w:tabs>
              <w:tab w:val="right" w:leader="dot" w:pos="9016"/>
            </w:tabs>
            <w:rPr>
              <w:rFonts w:eastAsiaTheme="minorEastAsia"/>
              <w:noProof/>
              <w:sz w:val="24"/>
              <w:szCs w:val="24"/>
              <w:lang w:eastAsia="en-GB"/>
            </w:rPr>
          </w:pPr>
          <w:hyperlink w:anchor="_Toc213154142" w:history="1">
            <w:r w:rsidRPr="00D0014E">
              <w:rPr>
                <w:rStyle w:val="Hyperlink"/>
                <w:noProof/>
              </w:rPr>
              <w:t>Denitrification Dynamics: Calculation of Potential Denitrification Rates</w:t>
            </w:r>
            <w:r>
              <w:rPr>
                <w:noProof/>
                <w:webHidden/>
              </w:rPr>
              <w:tab/>
            </w:r>
            <w:r>
              <w:rPr>
                <w:noProof/>
                <w:webHidden/>
              </w:rPr>
              <w:fldChar w:fldCharType="begin"/>
            </w:r>
            <w:r>
              <w:rPr>
                <w:noProof/>
                <w:webHidden/>
              </w:rPr>
              <w:instrText xml:space="preserve"> PAGEREF _Toc213154142 \h </w:instrText>
            </w:r>
            <w:r>
              <w:rPr>
                <w:noProof/>
                <w:webHidden/>
              </w:rPr>
            </w:r>
            <w:r>
              <w:rPr>
                <w:noProof/>
                <w:webHidden/>
              </w:rPr>
              <w:fldChar w:fldCharType="separate"/>
            </w:r>
            <w:r>
              <w:rPr>
                <w:noProof/>
                <w:webHidden/>
              </w:rPr>
              <w:t>7</w:t>
            </w:r>
            <w:r>
              <w:rPr>
                <w:noProof/>
                <w:webHidden/>
              </w:rPr>
              <w:fldChar w:fldCharType="end"/>
            </w:r>
          </w:hyperlink>
        </w:p>
        <w:p w14:paraId="3C5632AF" w14:textId="59D1FE28" w:rsidR="00B7511B" w:rsidRDefault="00B7511B">
          <w:pPr>
            <w:pStyle w:val="TOC3"/>
            <w:tabs>
              <w:tab w:val="right" w:leader="dot" w:pos="9016"/>
            </w:tabs>
            <w:rPr>
              <w:rFonts w:eastAsiaTheme="minorEastAsia"/>
              <w:noProof/>
              <w:sz w:val="24"/>
              <w:szCs w:val="24"/>
              <w:lang w:eastAsia="en-GB"/>
            </w:rPr>
          </w:pPr>
          <w:hyperlink w:anchor="_Toc213154143" w:history="1">
            <w:r w:rsidRPr="00D0014E">
              <w:rPr>
                <w:rStyle w:val="Hyperlink"/>
                <w:noProof/>
              </w:rPr>
              <w:t>Vegetation biomass and elemental concentrations</w:t>
            </w:r>
            <w:r>
              <w:rPr>
                <w:noProof/>
                <w:webHidden/>
              </w:rPr>
              <w:tab/>
            </w:r>
            <w:r>
              <w:rPr>
                <w:noProof/>
                <w:webHidden/>
              </w:rPr>
              <w:fldChar w:fldCharType="begin"/>
            </w:r>
            <w:r>
              <w:rPr>
                <w:noProof/>
                <w:webHidden/>
              </w:rPr>
              <w:instrText xml:space="preserve"> PAGEREF _Toc213154143 \h </w:instrText>
            </w:r>
            <w:r>
              <w:rPr>
                <w:noProof/>
                <w:webHidden/>
              </w:rPr>
            </w:r>
            <w:r>
              <w:rPr>
                <w:noProof/>
                <w:webHidden/>
              </w:rPr>
              <w:fldChar w:fldCharType="separate"/>
            </w:r>
            <w:r>
              <w:rPr>
                <w:noProof/>
                <w:webHidden/>
              </w:rPr>
              <w:t>8</w:t>
            </w:r>
            <w:r>
              <w:rPr>
                <w:noProof/>
                <w:webHidden/>
              </w:rPr>
              <w:fldChar w:fldCharType="end"/>
            </w:r>
          </w:hyperlink>
        </w:p>
        <w:p w14:paraId="51E32FC7" w14:textId="3F2051B5" w:rsidR="00B7511B" w:rsidRDefault="00B7511B">
          <w:pPr>
            <w:pStyle w:val="TOC3"/>
            <w:tabs>
              <w:tab w:val="right" w:leader="dot" w:pos="9016"/>
            </w:tabs>
            <w:rPr>
              <w:rFonts w:eastAsiaTheme="minorEastAsia"/>
              <w:noProof/>
              <w:sz w:val="24"/>
              <w:szCs w:val="24"/>
              <w:lang w:eastAsia="en-GB"/>
            </w:rPr>
          </w:pPr>
          <w:hyperlink w:anchor="_Toc213154144" w:history="1">
            <w:r w:rsidRPr="00D0014E">
              <w:rPr>
                <w:rStyle w:val="Hyperlink"/>
                <w:noProof/>
              </w:rPr>
              <w:t>Porewater and Seawater Samples</w:t>
            </w:r>
            <w:r>
              <w:rPr>
                <w:noProof/>
                <w:webHidden/>
              </w:rPr>
              <w:tab/>
            </w:r>
            <w:r>
              <w:rPr>
                <w:noProof/>
                <w:webHidden/>
              </w:rPr>
              <w:fldChar w:fldCharType="begin"/>
            </w:r>
            <w:r>
              <w:rPr>
                <w:noProof/>
                <w:webHidden/>
              </w:rPr>
              <w:instrText xml:space="preserve"> PAGEREF _Toc213154144 \h </w:instrText>
            </w:r>
            <w:r>
              <w:rPr>
                <w:noProof/>
                <w:webHidden/>
              </w:rPr>
            </w:r>
            <w:r>
              <w:rPr>
                <w:noProof/>
                <w:webHidden/>
              </w:rPr>
              <w:fldChar w:fldCharType="separate"/>
            </w:r>
            <w:r>
              <w:rPr>
                <w:noProof/>
                <w:webHidden/>
              </w:rPr>
              <w:t>8</w:t>
            </w:r>
            <w:r>
              <w:rPr>
                <w:noProof/>
                <w:webHidden/>
              </w:rPr>
              <w:fldChar w:fldCharType="end"/>
            </w:r>
          </w:hyperlink>
        </w:p>
        <w:p w14:paraId="13ACB4B8" w14:textId="2F369359" w:rsidR="00B7511B" w:rsidRDefault="00B7511B">
          <w:pPr>
            <w:pStyle w:val="TOC3"/>
            <w:tabs>
              <w:tab w:val="right" w:leader="dot" w:pos="9016"/>
            </w:tabs>
            <w:rPr>
              <w:rFonts w:eastAsiaTheme="minorEastAsia"/>
              <w:noProof/>
              <w:sz w:val="24"/>
              <w:szCs w:val="24"/>
              <w:lang w:eastAsia="en-GB"/>
            </w:rPr>
          </w:pPr>
          <w:hyperlink w:anchor="_Toc213154145" w:history="1">
            <w:r w:rsidRPr="00D0014E">
              <w:rPr>
                <w:rStyle w:val="Hyperlink"/>
                <w:noProof/>
              </w:rPr>
              <w:t>Organic Matter content and Bulk Density</w:t>
            </w:r>
            <w:r>
              <w:rPr>
                <w:noProof/>
                <w:webHidden/>
              </w:rPr>
              <w:tab/>
            </w:r>
            <w:r>
              <w:rPr>
                <w:noProof/>
                <w:webHidden/>
              </w:rPr>
              <w:fldChar w:fldCharType="begin"/>
            </w:r>
            <w:r>
              <w:rPr>
                <w:noProof/>
                <w:webHidden/>
              </w:rPr>
              <w:instrText xml:space="preserve"> PAGEREF _Toc213154145 \h </w:instrText>
            </w:r>
            <w:r>
              <w:rPr>
                <w:noProof/>
                <w:webHidden/>
              </w:rPr>
            </w:r>
            <w:r>
              <w:rPr>
                <w:noProof/>
                <w:webHidden/>
              </w:rPr>
              <w:fldChar w:fldCharType="separate"/>
            </w:r>
            <w:r>
              <w:rPr>
                <w:noProof/>
                <w:webHidden/>
              </w:rPr>
              <w:t>9</w:t>
            </w:r>
            <w:r>
              <w:rPr>
                <w:noProof/>
                <w:webHidden/>
              </w:rPr>
              <w:fldChar w:fldCharType="end"/>
            </w:r>
          </w:hyperlink>
        </w:p>
        <w:p w14:paraId="639DBEFF" w14:textId="11451B01" w:rsidR="00B7511B" w:rsidRDefault="00B7511B">
          <w:pPr>
            <w:pStyle w:val="TOC3"/>
            <w:tabs>
              <w:tab w:val="right" w:leader="dot" w:pos="9016"/>
            </w:tabs>
            <w:rPr>
              <w:rFonts w:eastAsiaTheme="minorEastAsia"/>
              <w:noProof/>
              <w:sz w:val="24"/>
              <w:szCs w:val="24"/>
              <w:lang w:eastAsia="en-GB"/>
            </w:rPr>
          </w:pPr>
          <w:hyperlink w:anchor="_Toc213154146" w:history="1">
            <w:r w:rsidRPr="00D0014E">
              <w:rPr>
                <w:rStyle w:val="Hyperlink"/>
                <w:rFonts w:eastAsia="Times New Roman"/>
                <w:noProof/>
                <w:lang w:eastAsia="en-GB"/>
              </w:rPr>
              <w:t>Particle size distribution</w:t>
            </w:r>
            <w:r>
              <w:rPr>
                <w:noProof/>
                <w:webHidden/>
              </w:rPr>
              <w:tab/>
            </w:r>
            <w:r>
              <w:rPr>
                <w:noProof/>
                <w:webHidden/>
              </w:rPr>
              <w:fldChar w:fldCharType="begin"/>
            </w:r>
            <w:r>
              <w:rPr>
                <w:noProof/>
                <w:webHidden/>
              </w:rPr>
              <w:instrText xml:space="preserve"> PAGEREF _Toc213154146 \h </w:instrText>
            </w:r>
            <w:r>
              <w:rPr>
                <w:noProof/>
                <w:webHidden/>
              </w:rPr>
            </w:r>
            <w:r>
              <w:rPr>
                <w:noProof/>
                <w:webHidden/>
              </w:rPr>
              <w:fldChar w:fldCharType="separate"/>
            </w:r>
            <w:r>
              <w:rPr>
                <w:noProof/>
                <w:webHidden/>
              </w:rPr>
              <w:t>9</w:t>
            </w:r>
            <w:r>
              <w:rPr>
                <w:noProof/>
                <w:webHidden/>
              </w:rPr>
              <w:fldChar w:fldCharType="end"/>
            </w:r>
          </w:hyperlink>
        </w:p>
        <w:p w14:paraId="35B539C5" w14:textId="19D89E87" w:rsidR="00B7511B" w:rsidRDefault="00B7511B">
          <w:pPr>
            <w:pStyle w:val="TOC3"/>
            <w:tabs>
              <w:tab w:val="right" w:leader="dot" w:pos="9016"/>
            </w:tabs>
            <w:rPr>
              <w:rFonts w:eastAsiaTheme="minorEastAsia"/>
              <w:noProof/>
              <w:sz w:val="24"/>
              <w:szCs w:val="24"/>
              <w:lang w:eastAsia="en-GB"/>
            </w:rPr>
          </w:pPr>
          <w:hyperlink w:anchor="_Toc213154147" w:history="1">
            <w:r w:rsidRPr="00D0014E">
              <w:rPr>
                <w:rStyle w:val="Hyperlink"/>
                <w:noProof/>
                <w:lang w:eastAsia="en-GB"/>
              </w:rPr>
              <w:t>References</w:t>
            </w:r>
            <w:r>
              <w:rPr>
                <w:noProof/>
                <w:webHidden/>
              </w:rPr>
              <w:tab/>
            </w:r>
            <w:r>
              <w:rPr>
                <w:noProof/>
                <w:webHidden/>
              </w:rPr>
              <w:fldChar w:fldCharType="begin"/>
            </w:r>
            <w:r>
              <w:rPr>
                <w:noProof/>
                <w:webHidden/>
              </w:rPr>
              <w:instrText xml:space="preserve"> PAGEREF _Toc213154147 \h </w:instrText>
            </w:r>
            <w:r>
              <w:rPr>
                <w:noProof/>
                <w:webHidden/>
              </w:rPr>
            </w:r>
            <w:r>
              <w:rPr>
                <w:noProof/>
                <w:webHidden/>
              </w:rPr>
              <w:fldChar w:fldCharType="separate"/>
            </w:r>
            <w:r>
              <w:rPr>
                <w:noProof/>
                <w:webHidden/>
              </w:rPr>
              <w:t>10</w:t>
            </w:r>
            <w:r>
              <w:rPr>
                <w:noProof/>
                <w:webHidden/>
              </w:rPr>
              <w:fldChar w:fldCharType="end"/>
            </w:r>
          </w:hyperlink>
        </w:p>
        <w:p w14:paraId="07A2AF0E" w14:textId="0475FB15" w:rsidR="00466419" w:rsidRPr="00466419" w:rsidRDefault="00466419" w:rsidP="00466419">
          <w:r>
            <w:rPr>
              <w:b/>
              <w:bCs/>
            </w:rPr>
            <w:fldChar w:fldCharType="end"/>
          </w:r>
        </w:p>
      </w:sdtContent>
    </w:sdt>
    <w:p w14:paraId="4F1E9FB9" w14:textId="77777777" w:rsidR="003F3144" w:rsidRDefault="003F3144" w:rsidP="003F3144">
      <w:pPr>
        <w:spacing w:before="240" w:after="120" w:line="276" w:lineRule="auto"/>
        <w:rPr>
          <w:color w:val="FF0000"/>
        </w:rPr>
      </w:pPr>
    </w:p>
    <w:p w14:paraId="4666DBB5" w14:textId="17E671A1" w:rsidR="00337F8C" w:rsidRDefault="00337F8C" w:rsidP="00337F8C">
      <w:pPr>
        <w:pStyle w:val="Heading2"/>
      </w:pPr>
      <w:bookmarkStart w:id="1" w:name="_Toc213154133"/>
      <w:r>
        <w:t>Files included</w:t>
      </w:r>
      <w:bookmarkEnd w:id="1"/>
    </w:p>
    <w:p w14:paraId="277904C7" w14:textId="6D65CD99" w:rsidR="00337F8C" w:rsidRDefault="00874384" w:rsidP="00337F8C">
      <w:r>
        <w:t>E</w:t>
      </w:r>
      <w:r w:rsidR="00932A65">
        <w:t>ight data files and eight accompanying meta-data files</w:t>
      </w:r>
      <w:r>
        <w:t xml:space="preserve"> are included</w:t>
      </w:r>
      <w:r w:rsidR="00827502">
        <w:t xml:space="preserve"> (Table 1)</w:t>
      </w:r>
      <w:r w:rsidR="00932A65">
        <w:t xml:space="preserve">. The </w:t>
      </w:r>
      <w:r w:rsidR="006F2238">
        <w:t>meta-data files include the variable descriptions</w:t>
      </w:r>
      <w:r w:rsidR="0088444D">
        <w:t>, units and other details.</w:t>
      </w:r>
    </w:p>
    <w:p w14:paraId="48ADACCE" w14:textId="4F9239B2" w:rsidR="00827502" w:rsidRDefault="00827502" w:rsidP="00337F8C">
      <w:r>
        <w:t xml:space="preserve">Table 1: files included in the data set </w:t>
      </w:r>
    </w:p>
    <w:tbl>
      <w:tblPr>
        <w:tblW w:w="86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6"/>
        <w:gridCol w:w="5671"/>
      </w:tblGrid>
      <w:tr w:rsidR="00084C85" w:rsidRPr="00C5489A" w14:paraId="0E89EEF5" w14:textId="7518653C" w:rsidTr="007A29CB">
        <w:trPr>
          <w:trHeight w:val="300"/>
        </w:trPr>
        <w:tc>
          <w:tcPr>
            <w:tcW w:w="2976" w:type="dxa"/>
            <w:shd w:val="clear" w:color="auto" w:fill="auto"/>
            <w:noWrap/>
            <w:vAlign w:val="center"/>
            <w:hideMark/>
          </w:tcPr>
          <w:p w14:paraId="58534BA5" w14:textId="5B0CE135" w:rsidR="00084C85" w:rsidRPr="00084C85" w:rsidRDefault="00084C85" w:rsidP="007A29CB">
            <w:pPr>
              <w:spacing w:after="0" w:line="240" w:lineRule="auto"/>
              <w:rPr>
                <w:rFonts w:ascii="Aptos Narrow" w:eastAsia="Times New Roman" w:hAnsi="Aptos Narrow" w:cs="Times New Roman"/>
                <w:b/>
                <w:bCs/>
                <w:color w:val="000000"/>
                <w:kern w:val="0"/>
                <w:lang w:eastAsia="en-GB"/>
                <w14:ligatures w14:val="none"/>
              </w:rPr>
            </w:pPr>
            <w:r w:rsidRPr="00C5489A">
              <w:rPr>
                <w:rFonts w:ascii="Aptos Narrow" w:eastAsia="Times New Roman" w:hAnsi="Aptos Narrow" w:cs="Times New Roman"/>
                <w:b/>
                <w:bCs/>
                <w:color w:val="000000"/>
                <w:kern w:val="0"/>
                <w:lang w:eastAsia="en-GB"/>
                <w14:ligatures w14:val="none"/>
              </w:rPr>
              <w:t>File</w:t>
            </w:r>
            <w:r w:rsidR="00ED4CC6" w:rsidRPr="00C5489A">
              <w:rPr>
                <w:rFonts w:ascii="Aptos Narrow" w:eastAsia="Times New Roman" w:hAnsi="Aptos Narrow" w:cs="Times New Roman"/>
                <w:b/>
                <w:bCs/>
                <w:color w:val="000000"/>
                <w:kern w:val="0"/>
                <w:lang w:eastAsia="en-GB"/>
                <w14:ligatures w14:val="none"/>
              </w:rPr>
              <w:t xml:space="preserve"> </w:t>
            </w:r>
            <w:r w:rsidRPr="00C5489A">
              <w:rPr>
                <w:rFonts w:ascii="Aptos Narrow" w:eastAsia="Times New Roman" w:hAnsi="Aptos Narrow" w:cs="Times New Roman"/>
                <w:b/>
                <w:bCs/>
                <w:color w:val="000000"/>
                <w:kern w:val="0"/>
                <w:lang w:eastAsia="en-GB"/>
                <w14:ligatures w14:val="none"/>
              </w:rPr>
              <w:t>names</w:t>
            </w:r>
          </w:p>
        </w:tc>
        <w:tc>
          <w:tcPr>
            <w:tcW w:w="5671" w:type="dxa"/>
            <w:vAlign w:val="center"/>
          </w:tcPr>
          <w:p w14:paraId="43F09F1D" w14:textId="24306287" w:rsidR="00084C85" w:rsidRPr="00C5489A" w:rsidRDefault="00084C85" w:rsidP="007A29CB">
            <w:pPr>
              <w:spacing w:after="0" w:line="240" w:lineRule="auto"/>
              <w:rPr>
                <w:rFonts w:ascii="Aptos Narrow" w:eastAsia="Times New Roman" w:hAnsi="Aptos Narrow" w:cs="Times New Roman"/>
                <w:b/>
                <w:bCs/>
                <w:color w:val="000000"/>
                <w:kern w:val="0"/>
                <w:lang w:eastAsia="en-GB"/>
                <w14:ligatures w14:val="none"/>
              </w:rPr>
            </w:pPr>
            <w:r w:rsidRPr="00C5489A">
              <w:rPr>
                <w:rFonts w:ascii="Aptos Narrow" w:eastAsia="Times New Roman" w:hAnsi="Aptos Narrow" w:cs="Times New Roman"/>
                <w:b/>
                <w:bCs/>
                <w:color w:val="000000"/>
                <w:kern w:val="0"/>
                <w:lang w:eastAsia="en-GB"/>
                <w14:ligatures w14:val="none"/>
              </w:rPr>
              <w:t>Description</w:t>
            </w:r>
          </w:p>
        </w:tc>
      </w:tr>
      <w:tr w:rsidR="00F4156F" w:rsidRPr="00C5489A" w14:paraId="234C3ACC" w14:textId="22ACA582" w:rsidTr="007A29CB">
        <w:trPr>
          <w:trHeight w:val="300"/>
        </w:trPr>
        <w:tc>
          <w:tcPr>
            <w:tcW w:w="2976" w:type="dxa"/>
            <w:shd w:val="clear" w:color="auto" w:fill="auto"/>
            <w:noWrap/>
            <w:vAlign w:val="center"/>
            <w:hideMark/>
          </w:tcPr>
          <w:p w14:paraId="5CA0E3B3" w14:textId="77777777" w:rsidR="00F4156F" w:rsidRPr="00084C85" w:rsidRDefault="00F4156F" w:rsidP="007A29CB">
            <w:pPr>
              <w:spacing w:after="0" w:line="240" w:lineRule="auto"/>
              <w:rPr>
                <w:rFonts w:ascii="Aptos Narrow" w:eastAsia="Times New Roman" w:hAnsi="Aptos Narrow" w:cs="Times New Roman"/>
                <w:color w:val="000000"/>
                <w:kern w:val="0"/>
                <w:lang w:eastAsia="en-GB"/>
                <w14:ligatures w14:val="none"/>
              </w:rPr>
            </w:pPr>
            <w:r w:rsidRPr="00084C85">
              <w:rPr>
                <w:rFonts w:ascii="Aptos Narrow" w:eastAsia="Times New Roman" w:hAnsi="Aptos Narrow" w:cs="Times New Roman"/>
                <w:color w:val="000000"/>
                <w:kern w:val="0"/>
                <w:lang w:eastAsia="en-GB"/>
                <w14:ligatures w14:val="none"/>
              </w:rPr>
              <w:t>cover_diversity.csv</w:t>
            </w:r>
          </w:p>
        </w:tc>
        <w:tc>
          <w:tcPr>
            <w:tcW w:w="5671" w:type="dxa"/>
            <w:vAlign w:val="center"/>
          </w:tcPr>
          <w:p w14:paraId="54562F2D" w14:textId="3E67E808" w:rsidR="00F4156F" w:rsidRPr="00C5489A" w:rsidRDefault="00F4156F" w:rsidP="007A29CB">
            <w:pPr>
              <w:spacing w:after="0" w:line="240" w:lineRule="auto"/>
              <w:rPr>
                <w:rFonts w:ascii="Aptos Narrow" w:eastAsia="Times New Roman" w:hAnsi="Aptos Narrow" w:cs="Times New Roman"/>
                <w:color w:val="000000"/>
                <w:kern w:val="0"/>
                <w:lang w:eastAsia="en-GB"/>
                <w14:ligatures w14:val="none"/>
              </w:rPr>
            </w:pPr>
            <w:r w:rsidRPr="00C5489A">
              <w:rPr>
                <w:rFonts w:ascii="Aptos Narrow" w:eastAsia="Times New Roman" w:hAnsi="Aptos Narrow" w:cs="Times New Roman"/>
                <w:color w:val="000000"/>
                <w:kern w:val="0"/>
                <w:lang w:eastAsia="en-GB"/>
                <w14:ligatures w14:val="none"/>
              </w:rPr>
              <w:t>Derived measures from species_composition.csv. Including percentage cover of vegetation, litter and bare ground. Shannon diversity index for each quadrat</w:t>
            </w:r>
          </w:p>
        </w:tc>
      </w:tr>
      <w:tr w:rsidR="00F4156F" w:rsidRPr="00C5489A" w14:paraId="2BE42EB9" w14:textId="3F0C9BEC" w:rsidTr="007A29CB">
        <w:trPr>
          <w:trHeight w:val="300"/>
        </w:trPr>
        <w:tc>
          <w:tcPr>
            <w:tcW w:w="2976" w:type="dxa"/>
            <w:shd w:val="clear" w:color="auto" w:fill="auto"/>
            <w:noWrap/>
            <w:vAlign w:val="center"/>
            <w:hideMark/>
          </w:tcPr>
          <w:p w14:paraId="3E7865BF" w14:textId="77777777" w:rsidR="00F4156F" w:rsidRPr="00084C85" w:rsidRDefault="00F4156F" w:rsidP="007A29CB">
            <w:pPr>
              <w:spacing w:after="0" w:line="240" w:lineRule="auto"/>
              <w:rPr>
                <w:rFonts w:ascii="Aptos Narrow" w:eastAsia="Times New Roman" w:hAnsi="Aptos Narrow" w:cs="Times New Roman"/>
                <w:color w:val="000000"/>
                <w:kern w:val="0"/>
                <w:lang w:eastAsia="en-GB"/>
                <w14:ligatures w14:val="none"/>
              </w:rPr>
            </w:pPr>
            <w:r w:rsidRPr="00084C85">
              <w:rPr>
                <w:rFonts w:ascii="Aptos Narrow" w:eastAsia="Times New Roman" w:hAnsi="Aptos Narrow" w:cs="Times New Roman"/>
                <w:color w:val="000000"/>
                <w:kern w:val="0"/>
                <w:lang w:eastAsia="en-GB"/>
                <w14:ligatures w14:val="none"/>
              </w:rPr>
              <w:t>cover_diversity_meta.csv</w:t>
            </w:r>
          </w:p>
        </w:tc>
        <w:tc>
          <w:tcPr>
            <w:tcW w:w="5671" w:type="dxa"/>
            <w:vAlign w:val="center"/>
          </w:tcPr>
          <w:p w14:paraId="61C68B4B" w14:textId="333D4024" w:rsidR="00F4156F" w:rsidRPr="00C5489A" w:rsidRDefault="00F4156F" w:rsidP="007A29CB">
            <w:pPr>
              <w:spacing w:after="0" w:line="240" w:lineRule="auto"/>
              <w:rPr>
                <w:rFonts w:ascii="Aptos Narrow" w:eastAsia="Times New Roman" w:hAnsi="Aptos Narrow" w:cs="Times New Roman"/>
                <w:color w:val="000000"/>
                <w:kern w:val="0"/>
                <w:lang w:eastAsia="en-GB"/>
                <w14:ligatures w14:val="none"/>
              </w:rPr>
            </w:pPr>
            <w:r w:rsidRPr="00C5489A">
              <w:rPr>
                <w:rFonts w:ascii="Aptos Narrow" w:eastAsia="Times New Roman" w:hAnsi="Aptos Narrow" w:cs="Times New Roman"/>
                <w:color w:val="000000"/>
                <w:kern w:val="0"/>
                <w:lang w:eastAsia="en-GB"/>
                <w14:ligatures w14:val="none"/>
              </w:rPr>
              <w:t>Meta-data for cover_diversity.csv</w:t>
            </w:r>
          </w:p>
        </w:tc>
      </w:tr>
      <w:tr w:rsidR="00F4156F" w:rsidRPr="00C5489A" w14:paraId="3AED57DA" w14:textId="7721713E" w:rsidTr="007A29CB">
        <w:trPr>
          <w:trHeight w:val="300"/>
        </w:trPr>
        <w:tc>
          <w:tcPr>
            <w:tcW w:w="2976" w:type="dxa"/>
            <w:shd w:val="clear" w:color="auto" w:fill="auto"/>
            <w:noWrap/>
            <w:vAlign w:val="center"/>
            <w:hideMark/>
          </w:tcPr>
          <w:p w14:paraId="6BE13CFB" w14:textId="77777777" w:rsidR="00F4156F" w:rsidRPr="00084C85" w:rsidRDefault="00F4156F" w:rsidP="007A29CB">
            <w:pPr>
              <w:spacing w:after="0" w:line="240" w:lineRule="auto"/>
              <w:rPr>
                <w:rFonts w:ascii="Aptos Narrow" w:eastAsia="Times New Roman" w:hAnsi="Aptos Narrow" w:cs="Times New Roman"/>
                <w:color w:val="000000"/>
                <w:kern w:val="0"/>
                <w:lang w:eastAsia="en-GB"/>
                <w14:ligatures w14:val="none"/>
              </w:rPr>
            </w:pPr>
            <w:r w:rsidRPr="00084C85">
              <w:rPr>
                <w:rFonts w:ascii="Aptos Narrow" w:eastAsia="Times New Roman" w:hAnsi="Aptos Narrow" w:cs="Times New Roman"/>
                <w:color w:val="000000"/>
                <w:kern w:val="0"/>
                <w:lang w:eastAsia="en-GB"/>
                <w14:ligatures w14:val="none"/>
              </w:rPr>
              <w:t>denitrification.csv</w:t>
            </w:r>
          </w:p>
        </w:tc>
        <w:tc>
          <w:tcPr>
            <w:tcW w:w="5671" w:type="dxa"/>
            <w:vAlign w:val="center"/>
          </w:tcPr>
          <w:p w14:paraId="590251F4" w14:textId="7817DCC7" w:rsidR="00F4156F" w:rsidRPr="00C5489A" w:rsidRDefault="00F4156F" w:rsidP="007A29CB">
            <w:pPr>
              <w:spacing w:after="0" w:line="240" w:lineRule="auto"/>
              <w:rPr>
                <w:rFonts w:ascii="Aptos Narrow" w:eastAsia="Times New Roman" w:hAnsi="Aptos Narrow" w:cs="Times New Roman"/>
                <w:color w:val="000000"/>
                <w:kern w:val="0"/>
                <w:lang w:eastAsia="en-GB"/>
                <w14:ligatures w14:val="none"/>
              </w:rPr>
            </w:pPr>
            <w:r w:rsidRPr="00C5489A">
              <w:rPr>
                <w:rFonts w:ascii="Aptos Narrow" w:eastAsia="Times New Roman" w:hAnsi="Aptos Narrow" w:cs="Times New Roman"/>
                <w:color w:val="000000"/>
                <w:kern w:val="0"/>
                <w:lang w:eastAsia="en-GB"/>
                <w14:ligatures w14:val="none"/>
              </w:rPr>
              <w:t>Denitrification rate measurements and associated data</w:t>
            </w:r>
          </w:p>
        </w:tc>
      </w:tr>
      <w:tr w:rsidR="00F4156F" w:rsidRPr="00C5489A" w14:paraId="248D7810" w14:textId="4CA8F667" w:rsidTr="007A29CB">
        <w:trPr>
          <w:trHeight w:val="300"/>
        </w:trPr>
        <w:tc>
          <w:tcPr>
            <w:tcW w:w="2976" w:type="dxa"/>
            <w:shd w:val="clear" w:color="auto" w:fill="auto"/>
            <w:noWrap/>
            <w:vAlign w:val="center"/>
            <w:hideMark/>
          </w:tcPr>
          <w:p w14:paraId="3E502AF9" w14:textId="77777777" w:rsidR="00F4156F" w:rsidRPr="00084C85" w:rsidRDefault="00F4156F" w:rsidP="007A29CB">
            <w:pPr>
              <w:spacing w:after="0" w:line="240" w:lineRule="auto"/>
              <w:rPr>
                <w:rFonts w:ascii="Aptos Narrow" w:eastAsia="Times New Roman" w:hAnsi="Aptos Narrow" w:cs="Times New Roman"/>
                <w:color w:val="000000"/>
                <w:kern w:val="0"/>
                <w:lang w:eastAsia="en-GB"/>
                <w14:ligatures w14:val="none"/>
              </w:rPr>
            </w:pPr>
            <w:r w:rsidRPr="00084C85">
              <w:rPr>
                <w:rFonts w:ascii="Aptos Narrow" w:eastAsia="Times New Roman" w:hAnsi="Aptos Narrow" w:cs="Times New Roman"/>
                <w:color w:val="000000"/>
                <w:kern w:val="0"/>
                <w:lang w:eastAsia="en-GB"/>
                <w14:ligatures w14:val="none"/>
              </w:rPr>
              <w:t>denitrification_meta.csv</w:t>
            </w:r>
          </w:p>
        </w:tc>
        <w:tc>
          <w:tcPr>
            <w:tcW w:w="5671" w:type="dxa"/>
            <w:vAlign w:val="center"/>
          </w:tcPr>
          <w:p w14:paraId="09019C8C" w14:textId="467DBEB8" w:rsidR="00F4156F" w:rsidRPr="00C5489A" w:rsidRDefault="00F4156F" w:rsidP="007A29CB">
            <w:pPr>
              <w:spacing w:after="0" w:line="240" w:lineRule="auto"/>
              <w:rPr>
                <w:rFonts w:ascii="Aptos Narrow" w:eastAsia="Times New Roman" w:hAnsi="Aptos Narrow" w:cs="Times New Roman"/>
                <w:color w:val="000000"/>
                <w:kern w:val="0"/>
                <w:lang w:eastAsia="en-GB"/>
                <w14:ligatures w14:val="none"/>
              </w:rPr>
            </w:pPr>
            <w:r w:rsidRPr="00C5489A">
              <w:rPr>
                <w:rFonts w:ascii="Aptos Narrow" w:eastAsia="Times New Roman" w:hAnsi="Aptos Narrow" w:cs="Times New Roman"/>
                <w:color w:val="000000"/>
                <w:kern w:val="0"/>
                <w:lang w:eastAsia="en-GB"/>
                <w14:ligatures w14:val="none"/>
              </w:rPr>
              <w:t>Meta-data for denitrification.csv</w:t>
            </w:r>
          </w:p>
        </w:tc>
      </w:tr>
      <w:tr w:rsidR="00084C85" w:rsidRPr="00C5489A" w14:paraId="5BB5A161" w14:textId="69A642E4" w:rsidTr="007A29CB">
        <w:trPr>
          <w:trHeight w:val="300"/>
        </w:trPr>
        <w:tc>
          <w:tcPr>
            <w:tcW w:w="2976" w:type="dxa"/>
            <w:shd w:val="clear" w:color="auto" w:fill="auto"/>
            <w:noWrap/>
            <w:vAlign w:val="center"/>
            <w:hideMark/>
          </w:tcPr>
          <w:p w14:paraId="6243BCFA" w14:textId="77777777" w:rsidR="00084C85" w:rsidRPr="00084C85" w:rsidRDefault="00084C85" w:rsidP="007A29CB">
            <w:pPr>
              <w:spacing w:after="0" w:line="240" w:lineRule="auto"/>
              <w:rPr>
                <w:rFonts w:ascii="Aptos Narrow" w:eastAsia="Times New Roman" w:hAnsi="Aptos Narrow" w:cs="Times New Roman"/>
                <w:color w:val="000000"/>
                <w:kern w:val="0"/>
                <w:lang w:eastAsia="en-GB"/>
                <w14:ligatures w14:val="none"/>
              </w:rPr>
            </w:pPr>
            <w:r w:rsidRPr="00084C85">
              <w:rPr>
                <w:rFonts w:ascii="Aptos Narrow" w:eastAsia="Times New Roman" w:hAnsi="Aptos Narrow" w:cs="Times New Roman"/>
                <w:color w:val="000000"/>
                <w:kern w:val="0"/>
                <w:lang w:eastAsia="en-GB"/>
                <w14:ligatures w14:val="none"/>
              </w:rPr>
              <w:t>elemental.csv</w:t>
            </w:r>
          </w:p>
        </w:tc>
        <w:tc>
          <w:tcPr>
            <w:tcW w:w="5671" w:type="dxa"/>
            <w:vAlign w:val="center"/>
          </w:tcPr>
          <w:p w14:paraId="2A611BD1" w14:textId="1F188864" w:rsidR="00084C85" w:rsidRPr="00C5489A" w:rsidRDefault="007508D4" w:rsidP="007A29CB">
            <w:pPr>
              <w:spacing w:line="240" w:lineRule="auto"/>
              <w:rPr>
                <w:rFonts w:ascii="Aptos Narrow" w:hAnsi="Aptos Narrow" w:cs="Calibri"/>
                <w:color w:val="000000"/>
              </w:rPr>
            </w:pPr>
            <w:r w:rsidRPr="00C5489A">
              <w:rPr>
                <w:rFonts w:ascii="Aptos Narrow" w:hAnsi="Aptos Narrow" w:cs="Calibri"/>
                <w:color w:val="000000"/>
              </w:rPr>
              <w:t xml:space="preserve">Content of C and N in </w:t>
            </w:r>
            <w:r w:rsidR="001B2021" w:rsidRPr="00C5489A">
              <w:rPr>
                <w:rFonts w:ascii="Aptos Narrow" w:hAnsi="Aptos Narrow" w:cs="Calibri"/>
                <w:color w:val="000000"/>
              </w:rPr>
              <w:t xml:space="preserve">above and belowground </w:t>
            </w:r>
            <w:r w:rsidRPr="00C5489A">
              <w:rPr>
                <w:rFonts w:ascii="Aptos Narrow" w:hAnsi="Aptos Narrow" w:cs="Calibri"/>
                <w:color w:val="000000"/>
              </w:rPr>
              <w:t>plant tissue</w:t>
            </w:r>
          </w:p>
        </w:tc>
      </w:tr>
      <w:tr w:rsidR="00084C85" w:rsidRPr="00C5489A" w14:paraId="3E8061AD" w14:textId="5EEEABD1" w:rsidTr="007A29CB">
        <w:trPr>
          <w:trHeight w:val="300"/>
        </w:trPr>
        <w:tc>
          <w:tcPr>
            <w:tcW w:w="2976" w:type="dxa"/>
            <w:shd w:val="clear" w:color="auto" w:fill="auto"/>
            <w:noWrap/>
            <w:vAlign w:val="center"/>
            <w:hideMark/>
          </w:tcPr>
          <w:p w14:paraId="61FCE8EB" w14:textId="77777777" w:rsidR="00084C85" w:rsidRPr="00084C85" w:rsidRDefault="00084C85" w:rsidP="007A29CB">
            <w:pPr>
              <w:spacing w:after="0" w:line="240" w:lineRule="auto"/>
              <w:rPr>
                <w:rFonts w:ascii="Aptos Narrow" w:eastAsia="Times New Roman" w:hAnsi="Aptos Narrow" w:cs="Times New Roman"/>
                <w:color w:val="000000"/>
                <w:kern w:val="0"/>
                <w:lang w:eastAsia="en-GB"/>
                <w14:ligatures w14:val="none"/>
              </w:rPr>
            </w:pPr>
            <w:r w:rsidRPr="00084C85">
              <w:rPr>
                <w:rFonts w:ascii="Aptos Narrow" w:eastAsia="Times New Roman" w:hAnsi="Aptos Narrow" w:cs="Times New Roman"/>
                <w:color w:val="000000"/>
                <w:kern w:val="0"/>
                <w:lang w:eastAsia="en-GB"/>
                <w14:ligatures w14:val="none"/>
              </w:rPr>
              <w:t>elemental_meta.csv</w:t>
            </w:r>
          </w:p>
        </w:tc>
        <w:tc>
          <w:tcPr>
            <w:tcW w:w="5671" w:type="dxa"/>
            <w:vAlign w:val="center"/>
          </w:tcPr>
          <w:p w14:paraId="054247D9" w14:textId="3C4B94D8" w:rsidR="00084C85" w:rsidRPr="00C5489A" w:rsidRDefault="00C34C2A" w:rsidP="007A29CB">
            <w:pPr>
              <w:spacing w:after="0" w:line="240" w:lineRule="auto"/>
              <w:rPr>
                <w:rFonts w:ascii="Aptos Narrow" w:eastAsia="Times New Roman" w:hAnsi="Aptos Narrow" w:cs="Times New Roman"/>
                <w:color w:val="000000"/>
                <w:kern w:val="0"/>
                <w:lang w:eastAsia="en-GB"/>
                <w14:ligatures w14:val="none"/>
              </w:rPr>
            </w:pPr>
            <w:r w:rsidRPr="00C5489A">
              <w:rPr>
                <w:rFonts w:ascii="Aptos Narrow" w:eastAsia="Times New Roman" w:hAnsi="Aptos Narrow" w:cs="Times New Roman"/>
                <w:color w:val="000000"/>
                <w:kern w:val="0"/>
                <w:lang w:eastAsia="en-GB"/>
                <w14:ligatures w14:val="none"/>
              </w:rPr>
              <w:t>Meta-data for elemental.csv</w:t>
            </w:r>
          </w:p>
        </w:tc>
      </w:tr>
      <w:tr w:rsidR="00F4156F" w:rsidRPr="00C5489A" w14:paraId="74D633EA" w14:textId="09CD9986" w:rsidTr="007A29CB">
        <w:trPr>
          <w:trHeight w:val="300"/>
        </w:trPr>
        <w:tc>
          <w:tcPr>
            <w:tcW w:w="2976" w:type="dxa"/>
            <w:shd w:val="clear" w:color="auto" w:fill="auto"/>
            <w:noWrap/>
            <w:vAlign w:val="center"/>
            <w:hideMark/>
          </w:tcPr>
          <w:p w14:paraId="5E300FAC" w14:textId="77777777" w:rsidR="00F4156F" w:rsidRPr="00084C85" w:rsidRDefault="00F4156F" w:rsidP="007A29CB">
            <w:pPr>
              <w:spacing w:after="0" w:line="240" w:lineRule="auto"/>
              <w:rPr>
                <w:rFonts w:ascii="Aptos Narrow" w:eastAsia="Times New Roman" w:hAnsi="Aptos Narrow" w:cs="Times New Roman"/>
                <w:color w:val="000000"/>
                <w:kern w:val="0"/>
                <w:lang w:eastAsia="en-GB"/>
                <w14:ligatures w14:val="none"/>
              </w:rPr>
            </w:pPr>
            <w:r w:rsidRPr="00084C85">
              <w:rPr>
                <w:rFonts w:ascii="Aptos Narrow" w:eastAsia="Times New Roman" w:hAnsi="Aptos Narrow" w:cs="Times New Roman"/>
                <w:color w:val="000000"/>
                <w:kern w:val="0"/>
                <w:lang w:eastAsia="en-GB"/>
                <w14:ligatures w14:val="none"/>
              </w:rPr>
              <w:t>loi.csv</w:t>
            </w:r>
          </w:p>
        </w:tc>
        <w:tc>
          <w:tcPr>
            <w:tcW w:w="5671" w:type="dxa"/>
            <w:vAlign w:val="center"/>
          </w:tcPr>
          <w:p w14:paraId="2F876553" w14:textId="0BAC65BC" w:rsidR="00F4156F" w:rsidRPr="00C5489A" w:rsidRDefault="00F4156F" w:rsidP="007A29CB">
            <w:pPr>
              <w:spacing w:after="0" w:line="240" w:lineRule="auto"/>
              <w:rPr>
                <w:rFonts w:ascii="Aptos Narrow" w:eastAsia="Times New Roman" w:hAnsi="Aptos Narrow" w:cs="Times New Roman"/>
                <w:color w:val="000000"/>
                <w:kern w:val="0"/>
                <w:lang w:eastAsia="en-GB"/>
                <w14:ligatures w14:val="none"/>
              </w:rPr>
            </w:pPr>
            <w:r w:rsidRPr="00C5489A">
              <w:rPr>
                <w:rFonts w:ascii="Aptos Narrow" w:eastAsia="Times New Roman" w:hAnsi="Aptos Narrow" w:cs="Times New Roman"/>
                <w:color w:val="000000"/>
                <w:kern w:val="0"/>
                <w:lang w:eastAsia="en-GB"/>
                <w14:ligatures w14:val="none"/>
              </w:rPr>
              <w:t>Loss-on-ignition and bulk density measures</w:t>
            </w:r>
          </w:p>
        </w:tc>
      </w:tr>
      <w:tr w:rsidR="00F4156F" w:rsidRPr="00C5489A" w14:paraId="09C0EE8F" w14:textId="140F73A3" w:rsidTr="007A29CB">
        <w:trPr>
          <w:trHeight w:val="300"/>
        </w:trPr>
        <w:tc>
          <w:tcPr>
            <w:tcW w:w="2976" w:type="dxa"/>
            <w:shd w:val="clear" w:color="auto" w:fill="auto"/>
            <w:noWrap/>
            <w:vAlign w:val="center"/>
            <w:hideMark/>
          </w:tcPr>
          <w:p w14:paraId="58929091" w14:textId="77777777" w:rsidR="00F4156F" w:rsidRPr="00084C85" w:rsidRDefault="00F4156F" w:rsidP="007A29CB">
            <w:pPr>
              <w:spacing w:after="0" w:line="240" w:lineRule="auto"/>
              <w:rPr>
                <w:rFonts w:ascii="Aptos Narrow" w:eastAsia="Times New Roman" w:hAnsi="Aptos Narrow" w:cs="Times New Roman"/>
                <w:color w:val="000000"/>
                <w:kern w:val="0"/>
                <w:lang w:eastAsia="en-GB"/>
                <w14:ligatures w14:val="none"/>
              </w:rPr>
            </w:pPr>
            <w:r w:rsidRPr="00084C85">
              <w:rPr>
                <w:rFonts w:ascii="Aptos Narrow" w:eastAsia="Times New Roman" w:hAnsi="Aptos Narrow" w:cs="Times New Roman"/>
                <w:color w:val="000000"/>
                <w:kern w:val="0"/>
                <w:lang w:eastAsia="en-GB"/>
                <w14:ligatures w14:val="none"/>
              </w:rPr>
              <w:t>loi_meta.csv</w:t>
            </w:r>
          </w:p>
        </w:tc>
        <w:tc>
          <w:tcPr>
            <w:tcW w:w="5671" w:type="dxa"/>
            <w:vAlign w:val="center"/>
          </w:tcPr>
          <w:p w14:paraId="2FD3E751" w14:textId="6FC78EE6" w:rsidR="00F4156F" w:rsidRPr="00C5489A" w:rsidRDefault="00F4156F" w:rsidP="007A29CB">
            <w:pPr>
              <w:spacing w:after="0" w:line="240" w:lineRule="auto"/>
              <w:rPr>
                <w:rFonts w:ascii="Aptos Narrow" w:eastAsia="Times New Roman" w:hAnsi="Aptos Narrow" w:cs="Times New Roman"/>
                <w:color w:val="000000"/>
                <w:kern w:val="0"/>
                <w:lang w:eastAsia="en-GB"/>
                <w14:ligatures w14:val="none"/>
              </w:rPr>
            </w:pPr>
            <w:r w:rsidRPr="00C5489A">
              <w:rPr>
                <w:rFonts w:ascii="Aptos Narrow" w:eastAsia="Times New Roman" w:hAnsi="Aptos Narrow" w:cs="Times New Roman"/>
                <w:color w:val="000000"/>
                <w:kern w:val="0"/>
                <w:lang w:eastAsia="en-GB"/>
                <w14:ligatures w14:val="none"/>
              </w:rPr>
              <w:t>Meta-data for loi.csv</w:t>
            </w:r>
          </w:p>
        </w:tc>
      </w:tr>
      <w:tr w:rsidR="00084C85" w:rsidRPr="00C5489A" w14:paraId="3254D9DD" w14:textId="04B8790C" w:rsidTr="007A29CB">
        <w:trPr>
          <w:trHeight w:val="300"/>
        </w:trPr>
        <w:tc>
          <w:tcPr>
            <w:tcW w:w="2976" w:type="dxa"/>
            <w:shd w:val="clear" w:color="auto" w:fill="auto"/>
            <w:noWrap/>
            <w:vAlign w:val="center"/>
            <w:hideMark/>
          </w:tcPr>
          <w:p w14:paraId="498C9C4C" w14:textId="77777777" w:rsidR="00084C85" w:rsidRPr="00084C85" w:rsidRDefault="00084C85" w:rsidP="007A29CB">
            <w:pPr>
              <w:spacing w:after="0" w:line="240" w:lineRule="auto"/>
              <w:rPr>
                <w:rFonts w:ascii="Aptos Narrow" w:eastAsia="Times New Roman" w:hAnsi="Aptos Narrow" w:cs="Times New Roman"/>
                <w:color w:val="000000"/>
                <w:kern w:val="0"/>
                <w:lang w:eastAsia="en-GB"/>
                <w14:ligatures w14:val="none"/>
              </w:rPr>
            </w:pPr>
            <w:r w:rsidRPr="00084C85">
              <w:rPr>
                <w:rFonts w:ascii="Aptos Narrow" w:eastAsia="Times New Roman" w:hAnsi="Aptos Narrow" w:cs="Times New Roman"/>
                <w:color w:val="000000"/>
                <w:kern w:val="0"/>
                <w:lang w:eastAsia="en-GB"/>
                <w14:ligatures w14:val="none"/>
              </w:rPr>
              <w:t>particle.csv</w:t>
            </w:r>
          </w:p>
        </w:tc>
        <w:tc>
          <w:tcPr>
            <w:tcW w:w="5671" w:type="dxa"/>
            <w:vAlign w:val="center"/>
          </w:tcPr>
          <w:p w14:paraId="3408786F" w14:textId="2DF9B53B" w:rsidR="00084C85" w:rsidRPr="00C5489A" w:rsidRDefault="00CF0835" w:rsidP="007A29CB">
            <w:pPr>
              <w:spacing w:after="0" w:line="240" w:lineRule="auto"/>
              <w:rPr>
                <w:rFonts w:ascii="Aptos Narrow" w:eastAsia="Times New Roman" w:hAnsi="Aptos Narrow" w:cs="Times New Roman"/>
                <w:color w:val="000000"/>
                <w:kern w:val="0"/>
                <w:lang w:eastAsia="en-GB"/>
                <w14:ligatures w14:val="none"/>
              </w:rPr>
            </w:pPr>
            <w:r w:rsidRPr="00C5489A">
              <w:rPr>
                <w:rFonts w:ascii="Aptos Narrow" w:eastAsia="Times New Roman" w:hAnsi="Aptos Narrow" w:cs="Times New Roman"/>
                <w:color w:val="000000"/>
                <w:kern w:val="0"/>
                <w:lang w:eastAsia="en-GB"/>
                <w14:ligatures w14:val="none"/>
              </w:rPr>
              <w:t>Soil particle size distribution</w:t>
            </w:r>
          </w:p>
        </w:tc>
      </w:tr>
      <w:tr w:rsidR="00084C85" w:rsidRPr="00C5489A" w14:paraId="5D70B5E8" w14:textId="684FBD83" w:rsidTr="007A29CB">
        <w:trPr>
          <w:trHeight w:val="300"/>
        </w:trPr>
        <w:tc>
          <w:tcPr>
            <w:tcW w:w="2976" w:type="dxa"/>
            <w:shd w:val="clear" w:color="auto" w:fill="auto"/>
            <w:noWrap/>
            <w:vAlign w:val="center"/>
            <w:hideMark/>
          </w:tcPr>
          <w:p w14:paraId="7C36CD58" w14:textId="77777777" w:rsidR="00084C85" w:rsidRPr="00084C85" w:rsidRDefault="00084C85" w:rsidP="007A29CB">
            <w:pPr>
              <w:spacing w:after="0" w:line="240" w:lineRule="auto"/>
              <w:rPr>
                <w:rFonts w:ascii="Aptos Narrow" w:eastAsia="Times New Roman" w:hAnsi="Aptos Narrow" w:cs="Times New Roman"/>
                <w:color w:val="000000"/>
                <w:kern w:val="0"/>
                <w:lang w:eastAsia="en-GB"/>
                <w14:ligatures w14:val="none"/>
              </w:rPr>
            </w:pPr>
            <w:r w:rsidRPr="00084C85">
              <w:rPr>
                <w:rFonts w:ascii="Aptos Narrow" w:eastAsia="Times New Roman" w:hAnsi="Aptos Narrow" w:cs="Times New Roman"/>
                <w:color w:val="000000"/>
                <w:kern w:val="0"/>
                <w:lang w:eastAsia="en-GB"/>
                <w14:ligatures w14:val="none"/>
              </w:rPr>
              <w:t>particle_meta.csv</w:t>
            </w:r>
          </w:p>
        </w:tc>
        <w:tc>
          <w:tcPr>
            <w:tcW w:w="5671" w:type="dxa"/>
            <w:vAlign w:val="center"/>
          </w:tcPr>
          <w:p w14:paraId="56262D1F" w14:textId="77F04580" w:rsidR="00084C85" w:rsidRPr="00C5489A" w:rsidRDefault="00CF0835" w:rsidP="007A29CB">
            <w:pPr>
              <w:spacing w:after="0" w:line="240" w:lineRule="auto"/>
              <w:rPr>
                <w:rFonts w:ascii="Aptos Narrow" w:eastAsia="Times New Roman" w:hAnsi="Aptos Narrow" w:cs="Times New Roman"/>
                <w:color w:val="000000"/>
                <w:kern w:val="0"/>
                <w:lang w:eastAsia="en-GB"/>
                <w14:ligatures w14:val="none"/>
              </w:rPr>
            </w:pPr>
            <w:r w:rsidRPr="00C5489A">
              <w:rPr>
                <w:rFonts w:ascii="Aptos Narrow" w:eastAsia="Times New Roman" w:hAnsi="Aptos Narrow" w:cs="Times New Roman"/>
                <w:color w:val="000000"/>
                <w:kern w:val="0"/>
                <w:lang w:eastAsia="en-GB"/>
                <w14:ligatures w14:val="none"/>
              </w:rPr>
              <w:t>Meta-data for particle.csv</w:t>
            </w:r>
          </w:p>
        </w:tc>
      </w:tr>
      <w:tr w:rsidR="00084C85" w:rsidRPr="00C5489A" w14:paraId="2EC80DB5" w14:textId="7EA03944" w:rsidTr="007A29CB">
        <w:trPr>
          <w:trHeight w:val="300"/>
        </w:trPr>
        <w:tc>
          <w:tcPr>
            <w:tcW w:w="2976" w:type="dxa"/>
            <w:shd w:val="clear" w:color="auto" w:fill="auto"/>
            <w:noWrap/>
            <w:vAlign w:val="center"/>
            <w:hideMark/>
          </w:tcPr>
          <w:p w14:paraId="47FF78BF" w14:textId="77777777" w:rsidR="00084C85" w:rsidRPr="00084C85" w:rsidRDefault="00084C85" w:rsidP="007A29CB">
            <w:pPr>
              <w:spacing w:after="0" w:line="240" w:lineRule="auto"/>
              <w:rPr>
                <w:rFonts w:ascii="Aptos Narrow" w:eastAsia="Times New Roman" w:hAnsi="Aptos Narrow" w:cs="Times New Roman"/>
                <w:color w:val="000000"/>
                <w:kern w:val="0"/>
                <w:lang w:eastAsia="en-GB"/>
                <w14:ligatures w14:val="none"/>
              </w:rPr>
            </w:pPr>
            <w:r w:rsidRPr="00084C85">
              <w:rPr>
                <w:rFonts w:ascii="Aptos Narrow" w:eastAsia="Times New Roman" w:hAnsi="Aptos Narrow" w:cs="Times New Roman"/>
                <w:color w:val="000000"/>
                <w:kern w:val="0"/>
                <w:lang w:eastAsia="en-GB"/>
                <w14:ligatures w14:val="none"/>
              </w:rPr>
              <w:t>plant_height.csv</w:t>
            </w:r>
          </w:p>
        </w:tc>
        <w:tc>
          <w:tcPr>
            <w:tcW w:w="5671" w:type="dxa"/>
            <w:vAlign w:val="center"/>
          </w:tcPr>
          <w:p w14:paraId="63C1E54E" w14:textId="27F33A17" w:rsidR="00084C85" w:rsidRPr="00C5489A" w:rsidRDefault="00BD3029" w:rsidP="007A29CB">
            <w:pPr>
              <w:spacing w:line="240" w:lineRule="auto"/>
              <w:rPr>
                <w:rFonts w:ascii="Aptos Narrow" w:hAnsi="Aptos Narrow" w:cs="Calibri"/>
                <w:color w:val="000000"/>
              </w:rPr>
            </w:pPr>
            <w:r w:rsidRPr="00C5489A">
              <w:rPr>
                <w:rFonts w:ascii="Aptos Narrow" w:hAnsi="Aptos Narrow" w:cs="Calibri"/>
                <w:color w:val="000000"/>
              </w:rPr>
              <w:t xml:space="preserve">Plant height. Measured in 5-17 points within each quadrat - all species with greater than or equal to 15% cover. At each point, plant genus and height </w:t>
            </w:r>
            <w:proofErr w:type="gramStart"/>
            <w:r w:rsidRPr="00C5489A">
              <w:rPr>
                <w:rFonts w:ascii="Aptos Narrow" w:hAnsi="Aptos Narrow" w:cs="Calibri"/>
                <w:color w:val="000000"/>
              </w:rPr>
              <w:t>was</w:t>
            </w:r>
            <w:proofErr w:type="gramEnd"/>
            <w:r w:rsidRPr="00C5489A">
              <w:rPr>
                <w:rFonts w:ascii="Aptos Narrow" w:hAnsi="Aptos Narrow" w:cs="Calibri"/>
                <w:color w:val="000000"/>
              </w:rPr>
              <w:t xml:space="preserve"> recorded.</w:t>
            </w:r>
          </w:p>
        </w:tc>
      </w:tr>
      <w:tr w:rsidR="00084C85" w:rsidRPr="00C5489A" w14:paraId="02FA748E" w14:textId="76AFE166" w:rsidTr="007A29CB">
        <w:trPr>
          <w:trHeight w:val="300"/>
        </w:trPr>
        <w:tc>
          <w:tcPr>
            <w:tcW w:w="2976" w:type="dxa"/>
            <w:shd w:val="clear" w:color="auto" w:fill="auto"/>
            <w:noWrap/>
            <w:vAlign w:val="center"/>
            <w:hideMark/>
          </w:tcPr>
          <w:p w14:paraId="4BC295D2" w14:textId="77777777" w:rsidR="00084C85" w:rsidRPr="00084C85" w:rsidRDefault="00084C85" w:rsidP="007A29CB">
            <w:pPr>
              <w:spacing w:after="0" w:line="240" w:lineRule="auto"/>
              <w:rPr>
                <w:rFonts w:ascii="Aptos Narrow" w:eastAsia="Times New Roman" w:hAnsi="Aptos Narrow" w:cs="Times New Roman"/>
                <w:color w:val="000000"/>
                <w:kern w:val="0"/>
                <w:lang w:eastAsia="en-GB"/>
                <w14:ligatures w14:val="none"/>
              </w:rPr>
            </w:pPr>
            <w:r w:rsidRPr="00084C85">
              <w:rPr>
                <w:rFonts w:ascii="Aptos Narrow" w:eastAsia="Times New Roman" w:hAnsi="Aptos Narrow" w:cs="Times New Roman"/>
                <w:color w:val="000000"/>
                <w:kern w:val="0"/>
                <w:lang w:eastAsia="en-GB"/>
                <w14:ligatures w14:val="none"/>
              </w:rPr>
              <w:t>plant_height_meta.csv</w:t>
            </w:r>
          </w:p>
        </w:tc>
        <w:tc>
          <w:tcPr>
            <w:tcW w:w="5671" w:type="dxa"/>
            <w:vAlign w:val="center"/>
          </w:tcPr>
          <w:p w14:paraId="5466EE6E" w14:textId="24FC8FF3" w:rsidR="00084C85" w:rsidRPr="00C5489A" w:rsidRDefault="00BD3029" w:rsidP="007A29CB">
            <w:pPr>
              <w:spacing w:after="0" w:line="240" w:lineRule="auto"/>
              <w:rPr>
                <w:rFonts w:ascii="Aptos Narrow" w:eastAsia="Times New Roman" w:hAnsi="Aptos Narrow" w:cs="Times New Roman"/>
                <w:color w:val="000000"/>
                <w:kern w:val="0"/>
                <w:lang w:eastAsia="en-GB"/>
                <w14:ligatures w14:val="none"/>
              </w:rPr>
            </w:pPr>
            <w:r w:rsidRPr="00C5489A">
              <w:rPr>
                <w:rFonts w:ascii="Aptos Narrow" w:eastAsia="Times New Roman" w:hAnsi="Aptos Narrow" w:cs="Times New Roman"/>
                <w:color w:val="000000"/>
                <w:kern w:val="0"/>
                <w:lang w:eastAsia="en-GB"/>
                <w14:ligatures w14:val="none"/>
              </w:rPr>
              <w:t>Meta-data for plant_height.csv</w:t>
            </w:r>
          </w:p>
        </w:tc>
      </w:tr>
      <w:tr w:rsidR="00084C85" w:rsidRPr="00C5489A" w14:paraId="4D512AB5" w14:textId="0EF4B44E" w:rsidTr="007A29CB">
        <w:trPr>
          <w:trHeight w:val="300"/>
        </w:trPr>
        <w:tc>
          <w:tcPr>
            <w:tcW w:w="2976" w:type="dxa"/>
            <w:shd w:val="clear" w:color="auto" w:fill="auto"/>
            <w:noWrap/>
            <w:vAlign w:val="center"/>
            <w:hideMark/>
          </w:tcPr>
          <w:p w14:paraId="5D562834" w14:textId="77777777" w:rsidR="00084C85" w:rsidRPr="00084C85" w:rsidRDefault="00084C85" w:rsidP="007A29CB">
            <w:pPr>
              <w:spacing w:after="0" w:line="240" w:lineRule="auto"/>
              <w:rPr>
                <w:rFonts w:ascii="Aptos Narrow" w:eastAsia="Times New Roman" w:hAnsi="Aptos Narrow" w:cs="Times New Roman"/>
                <w:color w:val="000000"/>
                <w:kern w:val="0"/>
                <w:lang w:eastAsia="en-GB"/>
                <w14:ligatures w14:val="none"/>
              </w:rPr>
            </w:pPr>
            <w:r w:rsidRPr="00084C85">
              <w:rPr>
                <w:rFonts w:ascii="Aptos Narrow" w:eastAsia="Times New Roman" w:hAnsi="Aptos Narrow" w:cs="Times New Roman"/>
                <w:color w:val="000000"/>
                <w:kern w:val="0"/>
                <w:lang w:eastAsia="en-GB"/>
                <w14:ligatures w14:val="none"/>
              </w:rPr>
              <w:t>porewater.csv</w:t>
            </w:r>
          </w:p>
        </w:tc>
        <w:tc>
          <w:tcPr>
            <w:tcW w:w="5671" w:type="dxa"/>
            <w:vAlign w:val="center"/>
          </w:tcPr>
          <w:p w14:paraId="5CB5C171" w14:textId="78590377" w:rsidR="00084C85" w:rsidRPr="00C5489A" w:rsidRDefault="002A34A1" w:rsidP="007A29CB">
            <w:pPr>
              <w:spacing w:line="240" w:lineRule="auto"/>
              <w:rPr>
                <w:rFonts w:ascii="Aptos Narrow" w:hAnsi="Aptos Narrow" w:cs="Calibri"/>
                <w:color w:val="000000"/>
              </w:rPr>
            </w:pPr>
            <w:r w:rsidRPr="00C5489A">
              <w:rPr>
                <w:rFonts w:ascii="Aptos Narrow" w:hAnsi="Aptos Narrow" w:cs="Calibri"/>
                <w:color w:val="000000"/>
              </w:rPr>
              <w:t xml:space="preserve">Nutrient </w:t>
            </w:r>
            <w:r w:rsidR="004B3782" w:rsidRPr="00C5489A">
              <w:rPr>
                <w:rFonts w:ascii="Aptos Narrow" w:hAnsi="Aptos Narrow" w:cs="Calibri"/>
                <w:color w:val="000000"/>
              </w:rPr>
              <w:t>(NO</w:t>
            </w:r>
            <w:r w:rsidR="004B3782" w:rsidRPr="00C5489A">
              <w:rPr>
                <w:rFonts w:ascii="Aptos Narrow" w:hAnsi="Aptos Narrow" w:cs="Calibri"/>
                <w:color w:val="000000"/>
                <w:vertAlign w:val="subscript"/>
              </w:rPr>
              <w:t>2</w:t>
            </w:r>
            <w:r w:rsidR="004B3782" w:rsidRPr="00C5489A">
              <w:rPr>
                <w:rFonts w:ascii="Aptos Narrow" w:hAnsi="Aptos Narrow" w:cs="Calibri"/>
                <w:color w:val="000000"/>
              </w:rPr>
              <w:t>, NO</w:t>
            </w:r>
            <w:r w:rsidR="004B3782" w:rsidRPr="00C5489A">
              <w:rPr>
                <w:rFonts w:ascii="Aptos Narrow" w:hAnsi="Aptos Narrow" w:cs="Calibri"/>
                <w:color w:val="000000"/>
                <w:vertAlign w:val="subscript"/>
              </w:rPr>
              <w:t>3</w:t>
            </w:r>
            <w:r w:rsidR="004B3782" w:rsidRPr="00C5489A">
              <w:rPr>
                <w:rFonts w:ascii="Aptos Narrow" w:hAnsi="Aptos Narrow" w:cs="Calibri"/>
                <w:color w:val="000000"/>
              </w:rPr>
              <w:t>, NH</w:t>
            </w:r>
            <w:r w:rsidR="004B3782" w:rsidRPr="00C5489A">
              <w:rPr>
                <w:rFonts w:ascii="Aptos Narrow" w:hAnsi="Aptos Narrow" w:cs="Calibri"/>
                <w:color w:val="000000"/>
                <w:vertAlign w:val="subscript"/>
              </w:rPr>
              <w:t>4</w:t>
            </w:r>
            <w:r w:rsidR="004B3782" w:rsidRPr="00C5489A">
              <w:rPr>
                <w:rFonts w:ascii="Aptos Narrow" w:hAnsi="Aptos Narrow" w:cs="Calibri"/>
                <w:color w:val="000000"/>
              </w:rPr>
              <w:t>, PO</w:t>
            </w:r>
            <w:r w:rsidR="004B3782" w:rsidRPr="00C5489A">
              <w:rPr>
                <w:rFonts w:ascii="Aptos Narrow" w:hAnsi="Aptos Narrow" w:cs="Calibri"/>
                <w:color w:val="000000"/>
                <w:vertAlign w:val="subscript"/>
              </w:rPr>
              <w:t>4</w:t>
            </w:r>
            <w:r w:rsidR="004B3782" w:rsidRPr="00C5489A">
              <w:rPr>
                <w:rFonts w:ascii="Aptos Narrow" w:hAnsi="Aptos Narrow" w:cs="Calibri"/>
                <w:color w:val="000000"/>
              </w:rPr>
              <w:t xml:space="preserve">) </w:t>
            </w:r>
            <w:r w:rsidRPr="00C5489A">
              <w:rPr>
                <w:rFonts w:ascii="Aptos Narrow" w:hAnsi="Aptos Narrow" w:cs="Calibri"/>
                <w:color w:val="000000"/>
              </w:rPr>
              <w:t xml:space="preserve">contents in soil porewater </w:t>
            </w:r>
          </w:p>
        </w:tc>
      </w:tr>
      <w:tr w:rsidR="00084C85" w:rsidRPr="00C5489A" w14:paraId="612107F2" w14:textId="01EE016E" w:rsidTr="007A29CB">
        <w:trPr>
          <w:trHeight w:val="300"/>
        </w:trPr>
        <w:tc>
          <w:tcPr>
            <w:tcW w:w="2976" w:type="dxa"/>
            <w:shd w:val="clear" w:color="auto" w:fill="auto"/>
            <w:noWrap/>
            <w:vAlign w:val="center"/>
            <w:hideMark/>
          </w:tcPr>
          <w:p w14:paraId="3DE04E1A" w14:textId="77777777" w:rsidR="00084C85" w:rsidRPr="00084C85" w:rsidRDefault="00084C85" w:rsidP="007A29CB">
            <w:pPr>
              <w:spacing w:after="0" w:line="240" w:lineRule="auto"/>
              <w:rPr>
                <w:rFonts w:ascii="Aptos Narrow" w:eastAsia="Times New Roman" w:hAnsi="Aptos Narrow" w:cs="Times New Roman"/>
                <w:color w:val="000000"/>
                <w:kern w:val="0"/>
                <w:lang w:eastAsia="en-GB"/>
                <w14:ligatures w14:val="none"/>
              </w:rPr>
            </w:pPr>
            <w:r w:rsidRPr="00084C85">
              <w:rPr>
                <w:rFonts w:ascii="Aptos Narrow" w:eastAsia="Times New Roman" w:hAnsi="Aptos Narrow" w:cs="Times New Roman"/>
                <w:color w:val="000000"/>
                <w:kern w:val="0"/>
                <w:lang w:eastAsia="en-GB"/>
                <w14:ligatures w14:val="none"/>
              </w:rPr>
              <w:t>porewater_meta.csv</w:t>
            </w:r>
          </w:p>
        </w:tc>
        <w:tc>
          <w:tcPr>
            <w:tcW w:w="5671" w:type="dxa"/>
            <w:vAlign w:val="center"/>
          </w:tcPr>
          <w:p w14:paraId="22B99D26" w14:textId="775FB895" w:rsidR="00084C85" w:rsidRPr="00C5489A" w:rsidRDefault="003E6A16" w:rsidP="007A29CB">
            <w:pPr>
              <w:spacing w:after="0" w:line="240" w:lineRule="auto"/>
              <w:rPr>
                <w:rFonts w:ascii="Aptos Narrow" w:eastAsia="Times New Roman" w:hAnsi="Aptos Narrow" w:cs="Times New Roman"/>
                <w:color w:val="000000"/>
                <w:kern w:val="0"/>
                <w:lang w:eastAsia="en-GB"/>
                <w14:ligatures w14:val="none"/>
              </w:rPr>
            </w:pPr>
            <w:r w:rsidRPr="00C5489A">
              <w:rPr>
                <w:rFonts w:ascii="Aptos Narrow" w:eastAsia="Times New Roman" w:hAnsi="Aptos Narrow" w:cs="Times New Roman"/>
                <w:color w:val="000000"/>
                <w:kern w:val="0"/>
                <w:lang w:eastAsia="en-GB"/>
                <w14:ligatures w14:val="none"/>
              </w:rPr>
              <w:t>Meta-data for porewater.csv</w:t>
            </w:r>
          </w:p>
        </w:tc>
      </w:tr>
      <w:tr w:rsidR="00084C85" w:rsidRPr="00C5489A" w14:paraId="270687A7" w14:textId="5CC0CF4D" w:rsidTr="007A29CB">
        <w:trPr>
          <w:trHeight w:val="300"/>
        </w:trPr>
        <w:tc>
          <w:tcPr>
            <w:tcW w:w="2976" w:type="dxa"/>
            <w:shd w:val="clear" w:color="auto" w:fill="auto"/>
            <w:noWrap/>
            <w:vAlign w:val="center"/>
            <w:hideMark/>
          </w:tcPr>
          <w:p w14:paraId="4B3ABA36" w14:textId="77777777" w:rsidR="00084C85" w:rsidRPr="00084C85" w:rsidRDefault="00084C85" w:rsidP="007A29CB">
            <w:pPr>
              <w:spacing w:after="0" w:line="240" w:lineRule="auto"/>
              <w:rPr>
                <w:rFonts w:ascii="Aptos Narrow" w:eastAsia="Times New Roman" w:hAnsi="Aptos Narrow" w:cs="Times New Roman"/>
                <w:color w:val="000000"/>
                <w:kern w:val="0"/>
                <w:lang w:eastAsia="en-GB"/>
                <w14:ligatures w14:val="none"/>
              </w:rPr>
            </w:pPr>
            <w:r w:rsidRPr="00084C85">
              <w:rPr>
                <w:rFonts w:ascii="Aptos Narrow" w:eastAsia="Times New Roman" w:hAnsi="Aptos Narrow" w:cs="Times New Roman"/>
                <w:color w:val="000000"/>
                <w:kern w:val="0"/>
                <w:lang w:eastAsia="en-GB"/>
                <w14:ligatures w14:val="none"/>
              </w:rPr>
              <w:t>quadrat.csv</w:t>
            </w:r>
          </w:p>
        </w:tc>
        <w:tc>
          <w:tcPr>
            <w:tcW w:w="5671" w:type="dxa"/>
            <w:vAlign w:val="center"/>
          </w:tcPr>
          <w:p w14:paraId="6BDD9DDA" w14:textId="230B3096" w:rsidR="00084C85" w:rsidRPr="00C5489A" w:rsidRDefault="00933922" w:rsidP="007A29CB">
            <w:pPr>
              <w:spacing w:line="240" w:lineRule="auto"/>
              <w:rPr>
                <w:rFonts w:ascii="Aptos Narrow" w:hAnsi="Aptos Narrow" w:cs="Calibri"/>
                <w:color w:val="000000"/>
              </w:rPr>
            </w:pPr>
            <w:r w:rsidRPr="00C5489A">
              <w:rPr>
                <w:rFonts w:ascii="Aptos Narrow" w:hAnsi="Aptos Narrow" w:cs="Calibri"/>
                <w:color w:val="000000"/>
              </w:rPr>
              <w:t xml:space="preserve">Information from 6 quadrats taken per vegetation zone per saltmarsh. Exception: </w:t>
            </w:r>
            <w:proofErr w:type="spellStart"/>
            <w:r w:rsidRPr="00C5489A">
              <w:rPr>
                <w:rFonts w:ascii="Aptos Narrow" w:hAnsi="Aptos Narrow" w:cs="Calibri"/>
                <w:color w:val="000000"/>
              </w:rPr>
              <w:t>Welwick</w:t>
            </w:r>
            <w:proofErr w:type="spellEnd"/>
            <w:r w:rsidRPr="00C5489A">
              <w:rPr>
                <w:rFonts w:ascii="Aptos Narrow" w:hAnsi="Aptos Narrow" w:cs="Calibri"/>
                <w:color w:val="000000"/>
              </w:rPr>
              <w:t xml:space="preserve"> mid saltmarsh, only 2 samples taken due to logistical constraints</w:t>
            </w:r>
          </w:p>
        </w:tc>
      </w:tr>
      <w:tr w:rsidR="00084C85" w:rsidRPr="00C5489A" w14:paraId="45B14E9D" w14:textId="52C920B9" w:rsidTr="007A29CB">
        <w:trPr>
          <w:trHeight w:val="300"/>
        </w:trPr>
        <w:tc>
          <w:tcPr>
            <w:tcW w:w="2976" w:type="dxa"/>
            <w:shd w:val="clear" w:color="auto" w:fill="auto"/>
            <w:noWrap/>
            <w:vAlign w:val="center"/>
            <w:hideMark/>
          </w:tcPr>
          <w:p w14:paraId="408EE9EF" w14:textId="77777777" w:rsidR="00084C85" w:rsidRPr="00084C85" w:rsidRDefault="00084C85" w:rsidP="007A29CB">
            <w:pPr>
              <w:spacing w:after="0" w:line="240" w:lineRule="auto"/>
              <w:rPr>
                <w:rFonts w:ascii="Aptos Narrow" w:eastAsia="Times New Roman" w:hAnsi="Aptos Narrow" w:cs="Times New Roman"/>
                <w:color w:val="000000"/>
                <w:kern w:val="0"/>
                <w:lang w:eastAsia="en-GB"/>
                <w14:ligatures w14:val="none"/>
              </w:rPr>
            </w:pPr>
            <w:r w:rsidRPr="00084C85">
              <w:rPr>
                <w:rFonts w:ascii="Aptos Narrow" w:eastAsia="Times New Roman" w:hAnsi="Aptos Narrow" w:cs="Times New Roman"/>
                <w:color w:val="000000"/>
                <w:kern w:val="0"/>
                <w:lang w:eastAsia="en-GB"/>
                <w14:ligatures w14:val="none"/>
              </w:rPr>
              <w:lastRenderedPageBreak/>
              <w:t>quadrat_meta.csv</w:t>
            </w:r>
          </w:p>
        </w:tc>
        <w:tc>
          <w:tcPr>
            <w:tcW w:w="5671" w:type="dxa"/>
            <w:vAlign w:val="center"/>
          </w:tcPr>
          <w:p w14:paraId="08F93333" w14:textId="03205E08" w:rsidR="00084C85" w:rsidRPr="00C5489A" w:rsidRDefault="00933922" w:rsidP="007A29CB">
            <w:pPr>
              <w:spacing w:after="0" w:line="240" w:lineRule="auto"/>
              <w:rPr>
                <w:rFonts w:ascii="Aptos Narrow" w:eastAsia="Times New Roman" w:hAnsi="Aptos Narrow" w:cs="Times New Roman"/>
                <w:color w:val="000000"/>
                <w:kern w:val="0"/>
                <w:lang w:eastAsia="en-GB"/>
                <w14:ligatures w14:val="none"/>
              </w:rPr>
            </w:pPr>
            <w:r w:rsidRPr="00C5489A">
              <w:rPr>
                <w:rFonts w:ascii="Aptos Narrow" w:eastAsia="Times New Roman" w:hAnsi="Aptos Narrow" w:cs="Times New Roman"/>
                <w:color w:val="000000"/>
                <w:kern w:val="0"/>
                <w:lang w:eastAsia="en-GB"/>
                <w14:ligatures w14:val="none"/>
              </w:rPr>
              <w:t>Meta-data for quadrat.csv</w:t>
            </w:r>
          </w:p>
        </w:tc>
      </w:tr>
      <w:tr w:rsidR="00084C85" w:rsidRPr="00C5489A" w14:paraId="2FD8D0E2" w14:textId="5C693B3D" w:rsidTr="007A29CB">
        <w:trPr>
          <w:trHeight w:val="300"/>
        </w:trPr>
        <w:tc>
          <w:tcPr>
            <w:tcW w:w="2976" w:type="dxa"/>
            <w:shd w:val="clear" w:color="auto" w:fill="auto"/>
            <w:noWrap/>
            <w:vAlign w:val="center"/>
            <w:hideMark/>
          </w:tcPr>
          <w:p w14:paraId="3E21C03E" w14:textId="77777777" w:rsidR="00084C85" w:rsidRPr="00084C85" w:rsidRDefault="00084C85" w:rsidP="007A29CB">
            <w:pPr>
              <w:spacing w:after="0" w:line="240" w:lineRule="auto"/>
              <w:rPr>
                <w:rFonts w:ascii="Aptos Narrow" w:eastAsia="Times New Roman" w:hAnsi="Aptos Narrow" w:cs="Times New Roman"/>
                <w:color w:val="000000"/>
                <w:kern w:val="0"/>
                <w:lang w:eastAsia="en-GB"/>
                <w14:ligatures w14:val="none"/>
              </w:rPr>
            </w:pPr>
            <w:r w:rsidRPr="00084C85">
              <w:rPr>
                <w:rFonts w:ascii="Aptos Narrow" w:eastAsia="Times New Roman" w:hAnsi="Aptos Narrow" w:cs="Times New Roman"/>
                <w:color w:val="000000"/>
                <w:kern w:val="0"/>
                <w:lang w:eastAsia="en-GB"/>
                <w14:ligatures w14:val="none"/>
              </w:rPr>
              <w:t>seawater.csv</w:t>
            </w:r>
          </w:p>
        </w:tc>
        <w:tc>
          <w:tcPr>
            <w:tcW w:w="5671" w:type="dxa"/>
            <w:vAlign w:val="center"/>
          </w:tcPr>
          <w:p w14:paraId="4C127E3B" w14:textId="64DCC9D4" w:rsidR="00084C85" w:rsidRPr="00C5489A" w:rsidRDefault="004B3782" w:rsidP="007A29CB">
            <w:pPr>
              <w:spacing w:line="240" w:lineRule="auto"/>
              <w:rPr>
                <w:rFonts w:ascii="Aptos Narrow" w:hAnsi="Aptos Narrow" w:cs="Calibri"/>
                <w:color w:val="000000"/>
              </w:rPr>
            </w:pPr>
            <w:r w:rsidRPr="00C5489A">
              <w:rPr>
                <w:rFonts w:ascii="Aptos Narrow" w:hAnsi="Aptos Narrow" w:cs="Calibri"/>
                <w:color w:val="000000"/>
              </w:rPr>
              <w:t>Nutrient (NO</w:t>
            </w:r>
            <w:r w:rsidRPr="00C5489A">
              <w:rPr>
                <w:rFonts w:ascii="Aptos Narrow" w:hAnsi="Aptos Narrow" w:cs="Calibri"/>
                <w:color w:val="000000"/>
                <w:vertAlign w:val="subscript"/>
              </w:rPr>
              <w:t>2</w:t>
            </w:r>
            <w:r w:rsidRPr="00C5489A">
              <w:rPr>
                <w:rFonts w:ascii="Aptos Narrow" w:hAnsi="Aptos Narrow" w:cs="Calibri"/>
                <w:color w:val="000000"/>
              </w:rPr>
              <w:t>, NO</w:t>
            </w:r>
            <w:r w:rsidRPr="00C5489A">
              <w:rPr>
                <w:rFonts w:ascii="Aptos Narrow" w:hAnsi="Aptos Narrow" w:cs="Calibri"/>
                <w:color w:val="000000"/>
                <w:vertAlign w:val="subscript"/>
              </w:rPr>
              <w:t>3</w:t>
            </w:r>
            <w:r w:rsidRPr="00C5489A">
              <w:rPr>
                <w:rFonts w:ascii="Aptos Narrow" w:hAnsi="Aptos Narrow" w:cs="Calibri"/>
                <w:color w:val="000000"/>
              </w:rPr>
              <w:t>, NH</w:t>
            </w:r>
            <w:r w:rsidRPr="00C5489A">
              <w:rPr>
                <w:rFonts w:ascii="Aptos Narrow" w:hAnsi="Aptos Narrow" w:cs="Calibri"/>
                <w:color w:val="000000"/>
                <w:vertAlign w:val="subscript"/>
              </w:rPr>
              <w:t>4</w:t>
            </w:r>
            <w:r w:rsidRPr="00C5489A">
              <w:rPr>
                <w:rFonts w:ascii="Aptos Narrow" w:hAnsi="Aptos Narrow" w:cs="Calibri"/>
                <w:color w:val="000000"/>
              </w:rPr>
              <w:t>, PO</w:t>
            </w:r>
            <w:r w:rsidRPr="00C5489A">
              <w:rPr>
                <w:rFonts w:ascii="Aptos Narrow" w:hAnsi="Aptos Narrow" w:cs="Calibri"/>
                <w:color w:val="000000"/>
                <w:vertAlign w:val="subscript"/>
              </w:rPr>
              <w:t>4</w:t>
            </w:r>
            <w:r w:rsidRPr="00C5489A">
              <w:rPr>
                <w:rFonts w:ascii="Aptos Narrow" w:hAnsi="Aptos Narrow" w:cs="Calibri"/>
                <w:color w:val="000000"/>
              </w:rPr>
              <w:t xml:space="preserve">) contents in seawater. </w:t>
            </w:r>
            <w:r w:rsidR="004470E8" w:rsidRPr="00F47DEE">
              <w:rPr>
                <w:rFonts w:ascii="Aptos Narrow" w:hAnsi="Aptos Narrow" w:cs="Calibri"/>
                <w:color w:val="000000"/>
              </w:rPr>
              <w:t xml:space="preserve">Averages from two samples taken per </w:t>
            </w:r>
            <w:r w:rsidR="004470E8">
              <w:rPr>
                <w:rFonts w:ascii="Aptos Narrow" w:hAnsi="Aptos Narrow" w:cs="Calibri"/>
                <w:color w:val="000000"/>
              </w:rPr>
              <w:t>salt marsh</w:t>
            </w:r>
            <w:r w:rsidR="004470E8" w:rsidRPr="00F47DEE">
              <w:rPr>
                <w:rFonts w:ascii="Aptos Narrow" w:hAnsi="Aptos Narrow" w:cs="Calibri"/>
                <w:color w:val="000000"/>
              </w:rPr>
              <w:t xml:space="preserve"> </w:t>
            </w:r>
            <w:r w:rsidR="004470E8" w:rsidRPr="00F47DEE">
              <w:rPr>
                <w:rFonts w:ascii="Aptos Narrow" w:hAnsi="Aptos Narrow"/>
              </w:rPr>
              <w:t>approximately 1</w:t>
            </w:r>
            <w:r w:rsidR="004470E8" w:rsidRPr="00F47DEE">
              <w:rPr>
                <w:rFonts w:ascii="Aptos Narrow" w:hAnsi="Aptos Narrow" w:cs="Arial"/>
                <w:color w:val="1F1F1F"/>
                <w:szCs w:val="24"/>
              </w:rPr>
              <w:t xml:space="preserve"> –</w:t>
            </w:r>
            <w:r w:rsidR="004470E8" w:rsidRPr="00F47DEE">
              <w:rPr>
                <w:rFonts w:ascii="Aptos Narrow" w:hAnsi="Aptos Narrow" w:cs="Arial"/>
                <w:szCs w:val="24"/>
              </w:rPr>
              <w:t xml:space="preserve"> </w:t>
            </w:r>
            <w:r w:rsidR="004470E8" w:rsidRPr="00F47DEE">
              <w:rPr>
                <w:rFonts w:ascii="Aptos Narrow" w:hAnsi="Aptos Narrow"/>
              </w:rPr>
              <w:t>2 hours either side of high tide.</w:t>
            </w:r>
            <w:r w:rsidR="004470E8" w:rsidRPr="00C5489A">
              <w:rPr>
                <w:rFonts w:ascii="Aptos Narrow" w:hAnsi="Aptos Narrow" w:cs="Calibri"/>
                <w:color w:val="000000"/>
              </w:rPr>
              <w:t xml:space="preserve"> </w:t>
            </w:r>
          </w:p>
        </w:tc>
      </w:tr>
      <w:tr w:rsidR="00084C85" w:rsidRPr="00C5489A" w14:paraId="3A97F752" w14:textId="05416B51" w:rsidTr="007A29CB">
        <w:trPr>
          <w:trHeight w:val="300"/>
        </w:trPr>
        <w:tc>
          <w:tcPr>
            <w:tcW w:w="2976" w:type="dxa"/>
            <w:shd w:val="clear" w:color="auto" w:fill="auto"/>
            <w:noWrap/>
            <w:vAlign w:val="center"/>
            <w:hideMark/>
          </w:tcPr>
          <w:p w14:paraId="2BD23715" w14:textId="77777777" w:rsidR="00084C85" w:rsidRPr="00084C85" w:rsidRDefault="00084C85" w:rsidP="007A29CB">
            <w:pPr>
              <w:spacing w:after="0" w:line="240" w:lineRule="auto"/>
              <w:rPr>
                <w:rFonts w:ascii="Aptos Narrow" w:eastAsia="Times New Roman" w:hAnsi="Aptos Narrow" w:cs="Times New Roman"/>
                <w:color w:val="000000"/>
                <w:kern w:val="0"/>
                <w:lang w:eastAsia="en-GB"/>
                <w14:ligatures w14:val="none"/>
              </w:rPr>
            </w:pPr>
            <w:r w:rsidRPr="00084C85">
              <w:rPr>
                <w:rFonts w:ascii="Aptos Narrow" w:eastAsia="Times New Roman" w:hAnsi="Aptos Narrow" w:cs="Times New Roman"/>
                <w:color w:val="000000"/>
                <w:kern w:val="0"/>
                <w:lang w:eastAsia="en-GB"/>
                <w14:ligatures w14:val="none"/>
              </w:rPr>
              <w:t>seawater_meta.csv</w:t>
            </w:r>
          </w:p>
        </w:tc>
        <w:tc>
          <w:tcPr>
            <w:tcW w:w="5671" w:type="dxa"/>
            <w:vAlign w:val="center"/>
          </w:tcPr>
          <w:p w14:paraId="39BEAA70" w14:textId="26B4EDA0" w:rsidR="00084C85" w:rsidRPr="00C5489A" w:rsidRDefault="004B3782" w:rsidP="007A29CB">
            <w:pPr>
              <w:spacing w:after="0" w:line="240" w:lineRule="auto"/>
              <w:rPr>
                <w:rFonts w:ascii="Aptos Narrow" w:eastAsia="Times New Roman" w:hAnsi="Aptos Narrow" w:cs="Times New Roman"/>
                <w:color w:val="000000"/>
                <w:kern w:val="0"/>
                <w:lang w:eastAsia="en-GB"/>
                <w14:ligatures w14:val="none"/>
              </w:rPr>
            </w:pPr>
            <w:r w:rsidRPr="00C5489A">
              <w:rPr>
                <w:rFonts w:ascii="Aptos Narrow" w:eastAsia="Times New Roman" w:hAnsi="Aptos Narrow" w:cs="Times New Roman"/>
                <w:color w:val="000000"/>
                <w:kern w:val="0"/>
                <w:lang w:eastAsia="en-GB"/>
                <w14:ligatures w14:val="none"/>
              </w:rPr>
              <w:t>Meta-data for seawater.csv</w:t>
            </w:r>
          </w:p>
        </w:tc>
      </w:tr>
      <w:tr w:rsidR="00084C85" w:rsidRPr="00C5489A" w14:paraId="2B0D6DB0" w14:textId="3DCC5217" w:rsidTr="007A29CB">
        <w:trPr>
          <w:trHeight w:val="300"/>
        </w:trPr>
        <w:tc>
          <w:tcPr>
            <w:tcW w:w="2976" w:type="dxa"/>
            <w:shd w:val="clear" w:color="auto" w:fill="auto"/>
            <w:noWrap/>
            <w:vAlign w:val="center"/>
            <w:hideMark/>
          </w:tcPr>
          <w:p w14:paraId="72F7E4B2" w14:textId="77777777" w:rsidR="00084C85" w:rsidRPr="00084C85" w:rsidRDefault="00084C85" w:rsidP="007A29CB">
            <w:pPr>
              <w:spacing w:after="0" w:line="240" w:lineRule="auto"/>
              <w:rPr>
                <w:rFonts w:ascii="Aptos Narrow" w:eastAsia="Times New Roman" w:hAnsi="Aptos Narrow" w:cs="Times New Roman"/>
                <w:color w:val="000000"/>
                <w:kern w:val="0"/>
                <w:lang w:eastAsia="en-GB"/>
                <w14:ligatures w14:val="none"/>
              </w:rPr>
            </w:pPr>
            <w:r w:rsidRPr="00084C85">
              <w:rPr>
                <w:rFonts w:ascii="Aptos Narrow" w:eastAsia="Times New Roman" w:hAnsi="Aptos Narrow" w:cs="Times New Roman"/>
                <w:color w:val="000000"/>
                <w:kern w:val="0"/>
                <w:lang w:eastAsia="en-GB"/>
                <w14:ligatures w14:val="none"/>
              </w:rPr>
              <w:t>species_composition.csv</w:t>
            </w:r>
          </w:p>
        </w:tc>
        <w:tc>
          <w:tcPr>
            <w:tcW w:w="5671" w:type="dxa"/>
            <w:vAlign w:val="center"/>
          </w:tcPr>
          <w:p w14:paraId="627609D4" w14:textId="12CC2623" w:rsidR="00084C85" w:rsidRPr="00C5489A" w:rsidRDefault="00374E9D" w:rsidP="007A29CB">
            <w:pPr>
              <w:spacing w:line="240" w:lineRule="auto"/>
              <w:rPr>
                <w:rFonts w:ascii="Aptos Narrow" w:eastAsia="Times New Roman" w:hAnsi="Aptos Narrow" w:cs="Times New Roman"/>
                <w:color w:val="000000"/>
                <w:kern w:val="0"/>
                <w:lang w:eastAsia="en-GB"/>
                <w14:ligatures w14:val="none"/>
              </w:rPr>
            </w:pPr>
            <w:r w:rsidRPr="00C5489A">
              <w:rPr>
                <w:rFonts w:ascii="Aptos Narrow" w:hAnsi="Aptos Narrow" w:cs="Calibri"/>
                <w:color w:val="000000"/>
              </w:rPr>
              <w:t>Percentage ground cover by plant genus</w:t>
            </w:r>
          </w:p>
        </w:tc>
      </w:tr>
      <w:tr w:rsidR="00084C85" w:rsidRPr="00C5489A" w14:paraId="50CD9D0A" w14:textId="06D90920" w:rsidTr="007A29CB">
        <w:trPr>
          <w:trHeight w:val="300"/>
        </w:trPr>
        <w:tc>
          <w:tcPr>
            <w:tcW w:w="2976" w:type="dxa"/>
            <w:shd w:val="clear" w:color="auto" w:fill="auto"/>
            <w:noWrap/>
            <w:vAlign w:val="center"/>
            <w:hideMark/>
          </w:tcPr>
          <w:p w14:paraId="3D35B781" w14:textId="77777777" w:rsidR="00084C85" w:rsidRPr="00084C85" w:rsidRDefault="00084C85" w:rsidP="007A29CB">
            <w:pPr>
              <w:spacing w:after="0" w:line="240" w:lineRule="auto"/>
              <w:rPr>
                <w:rFonts w:ascii="Aptos Narrow" w:eastAsia="Times New Roman" w:hAnsi="Aptos Narrow" w:cs="Times New Roman"/>
                <w:color w:val="000000"/>
                <w:kern w:val="0"/>
                <w:lang w:eastAsia="en-GB"/>
                <w14:ligatures w14:val="none"/>
              </w:rPr>
            </w:pPr>
            <w:r w:rsidRPr="00084C85">
              <w:rPr>
                <w:rFonts w:ascii="Aptos Narrow" w:eastAsia="Times New Roman" w:hAnsi="Aptos Narrow" w:cs="Times New Roman"/>
                <w:color w:val="000000"/>
                <w:kern w:val="0"/>
                <w:lang w:eastAsia="en-GB"/>
                <w14:ligatures w14:val="none"/>
              </w:rPr>
              <w:t>species_composition_meta.csv</w:t>
            </w:r>
          </w:p>
        </w:tc>
        <w:tc>
          <w:tcPr>
            <w:tcW w:w="5671" w:type="dxa"/>
            <w:vAlign w:val="center"/>
          </w:tcPr>
          <w:p w14:paraId="4F3FBBA2" w14:textId="233ED0C9" w:rsidR="00084C85" w:rsidRPr="00C5489A" w:rsidRDefault="00374E9D" w:rsidP="007A29CB">
            <w:pPr>
              <w:spacing w:after="0" w:line="240" w:lineRule="auto"/>
              <w:rPr>
                <w:rFonts w:ascii="Aptos Narrow" w:eastAsia="Times New Roman" w:hAnsi="Aptos Narrow" w:cs="Times New Roman"/>
                <w:color w:val="000000"/>
                <w:kern w:val="0"/>
                <w:lang w:eastAsia="en-GB"/>
                <w14:ligatures w14:val="none"/>
              </w:rPr>
            </w:pPr>
            <w:r w:rsidRPr="00C5489A">
              <w:rPr>
                <w:rFonts w:ascii="Aptos Narrow" w:eastAsia="Times New Roman" w:hAnsi="Aptos Narrow" w:cs="Times New Roman"/>
                <w:color w:val="000000"/>
                <w:kern w:val="0"/>
                <w:lang w:eastAsia="en-GB"/>
                <w14:ligatures w14:val="none"/>
              </w:rPr>
              <w:t xml:space="preserve">Meta-data for </w:t>
            </w:r>
            <w:r w:rsidR="00DD5C4A" w:rsidRPr="00C5489A">
              <w:rPr>
                <w:rFonts w:ascii="Aptos Narrow" w:eastAsia="Times New Roman" w:hAnsi="Aptos Narrow" w:cs="Times New Roman"/>
                <w:color w:val="000000"/>
                <w:kern w:val="0"/>
                <w:lang w:eastAsia="en-GB"/>
                <w14:ligatures w14:val="none"/>
              </w:rPr>
              <w:t>species_composition.csv</w:t>
            </w:r>
          </w:p>
        </w:tc>
      </w:tr>
      <w:tr w:rsidR="00084C85" w:rsidRPr="00C5489A" w14:paraId="7268C7AD" w14:textId="185EF933" w:rsidTr="007A29CB">
        <w:trPr>
          <w:trHeight w:val="300"/>
        </w:trPr>
        <w:tc>
          <w:tcPr>
            <w:tcW w:w="2976" w:type="dxa"/>
            <w:shd w:val="clear" w:color="auto" w:fill="auto"/>
            <w:noWrap/>
            <w:vAlign w:val="center"/>
            <w:hideMark/>
          </w:tcPr>
          <w:p w14:paraId="7B0E65EA" w14:textId="77777777" w:rsidR="00084C85" w:rsidRPr="00084C85" w:rsidRDefault="00084C85" w:rsidP="007A29CB">
            <w:pPr>
              <w:spacing w:after="0" w:line="240" w:lineRule="auto"/>
              <w:rPr>
                <w:rFonts w:ascii="Aptos Narrow" w:eastAsia="Times New Roman" w:hAnsi="Aptos Narrow" w:cs="Times New Roman"/>
                <w:color w:val="000000"/>
                <w:kern w:val="0"/>
                <w:lang w:eastAsia="en-GB"/>
                <w14:ligatures w14:val="none"/>
              </w:rPr>
            </w:pPr>
            <w:r w:rsidRPr="00084C85">
              <w:rPr>
                <w:rFonts w:ascii="Aptos Narrow" w:eastAsia="Times New Roman" w:hAnsi="Aptos Narrow" w:cs="Times New Roman"/>
                <w:color w:val="000000"/>
                <w:kern w:val="0"/>
                <w:lang w:eastAsia="en-GB"/>
                <w14:ligatures w14:val="none"/>
              </w:rPr>
              <w:t>veg_biomass.csv</w:t>
            </w:r>
          </w:p>
        </w:tc>
        <w:tc>
          <w:tcPr>
            <w:tcW w:w="5671" w:type="dxa"/>
            <w:vAlign w:val="center"/>
          </w:tcPr>
          <w:p w14:paraId="0E8ACD3B" w14:textId="374731C1" w:rsidR="00084C85" w:rsidRPr="00C5489A" w:rsidRDefault="00DD5C4A" w:rsidP="007A29CB">
            <w:pPr>
              <w:spacing w:line="240" w:lineRule="auto"/>
              <w:rPr>
                <w:rFonts w:ascii="Aptos Narrow" w:hAnsi="Aptos Narrow" w:cs="Calibri"/>
                <w:color w:val="000000"/>
              </w:rPr>
            </w:pPr>
            <w:r w:rsidRPr="00C5489A">
              <w:rPr>
                <w:rFonts w:ascii="Aptos Narrow" w:hAnsi="Aptos Narrow" w:cs="Calibri"/>
                <w:color w:val="000000"/>
              </w:rPr>
              <w:t>Live plant dry weight, above and belowground</w:t>
            </w:r>
          </w:p>
        </w:tc>
      </w:tr>
      <w:tr w:rsidR="00084C85" w:rsidRPr="00C5489A" w14:paraId="67D5195D" w14:textId="1CC3F53B" w:rsidTr="007A29CB">
        <w:trPr>
          <w:trHeight w:val="300"/>
        </w:trPr>
        <w:tc>
          <w:tcPr>
            <w:tcW w:w="2976" w:type="dxa"/>
            <w:shd w:val="clear" w:color="auto" w:fill="auto"/>
            <w:noWrap/>
            <w:vAlign w:val="center"/>
            <w:hideMark/>
          </w:tcPr>
          <w:p w14:paraId="38C139D9" w14:textId="77777777" w:rsidR="00084C85" w:rsidRPr="00084C85" w:rsidRDefault="00084C85" w:rsidP="007A29CB">
            <w:pPr>
              <w:spacing w:after="0" w:line="240" w:lineRule="auto"/>
              <w:rPr>
                <w:rFonts w:ascii="Aptos Narrow" w:eastAsia="Times New Roman" w:hAnsi="Aptos Narrow" w:cs="Times New Roman"/>
                <w:color w:val="000000"/>
                <w:kern w:val="0"/>
                <w:lang w:eastAsia="en-GB"/>
                <w14:ligatures w14:val="none"/>
              </w:rPr>
            </w:pPr>
            <w:r w:rsidRPr="00084C85">
              <w:rPr>
                <w:rFonts w:ascii="Aptos Narrow" w:eastAsia="Times New Roman" w:hAnsi="Aptos Narrow" w:cs="Times New Roman"/>
                <w:color w:val="000000"/>
                <w:kern w:val="0"/>
                <w:lang w:eastAsia="en-GB"/>
                <w14:ligatures w14:val="none"/>
              </w:rPr>
              <w:t>veg_biomass_meta.csv</w:t>
            </w:r>
          </w:p>
        </w:tc>
        <w:tc>
          <w:tcPr>
            <w:tcW w:w="5671" w:type="dxa"/>
            <w:vAlign w:val="center"/>
          </w:tcPr>
          <w:p w14:paraId="24A399B3" w14:textId="401F8324" w:rsidR="00084C85" w:rsidRPr="00C5489A" w:rsidRDefault="00DD5C4A" w:rsidP="007A29CB">
            <w:pPr>
              <w:spacing w:after="0" w:line="240" w:lineRule="auto"/>
              <w:rPr>
                <w:rFonts w:ascii="Aptos Narrow" w:eastAsia="Times New Roman" w:hAnsi="Aptos Narrow" w:cs="Times New Roman"/>
                <w:color w:val="000000"/>
                <w:kern w:val="0"/>
                <w:lang w:eastAsia="en-GB"/>
                <w14:ligatures w14:val="none"/>
              </w:rPr>
            </w:pPr>
            <w:r w:rsidRPr="00C5489A">
              <w:rPr>
                <w:rFonts w:ascii="Aptos Narrow" w:eastAsia="Times New Roman" w:hAnsi="Aptos Narrow" w:cs="Times New Roman"/>
                <w:color w:val="000000"/>
                <w:kern w:val="0"/>
                <w:lang w:eastAsia="en-GB"/>
                <w14:ligatures w14:val="none"/>
              </w:rPr>
              <w:t>Meta-data for veg_biomass.csv</w:t>
            </w:r>
          </w:p>
        </w:tc>
      </w:tr>
    </w:tbl>
    <w:p w14:paraId="7A683C84" w14:textId="77777777" w:rsidR="00084C85" w:rsidRDefault="00084C85" w:rsidP="00337F8C"/>
    <w:p w14:paraId="1EC82469" w14:textId="77777777" w:rsidR="00337F8C" w:rsidRDefault="00337F8C" w:rsidP="00337F8C"/>
    <w:p w14:paraId="5C87349E" w14:textId="278A8AA7" w:rsidR="00E46942" w:rsidRPr="00337F8C" w:rsidRDefault="00874384" w:rsidP="00874384">
      <w:pPr>
        <w:pStyle w:val="Heading2"/>
      </w:pPr>
      <w:bookmarkStart w:id="2" w:name="_Toc213154134"/>
      <w:r>
        <w:t xml:space="preserve">Spatial </w:t>
      </w:r>
      <w:r w:rsidR="005E0DA7">
        <w:t xml:space="preserve">and temporal </w:t>
      </w:r>
      <w:r>
        <w:t>coverage</w:t>
      </w:r>
      <w:bookmarkEnd w:id="2"/>
    </w:p>
    <w:p w14:paraId="0CFFF529" w14:textId="17F21A6F" w:rsidR="00AF56F9" w:rsidRDefault="00874384" w:rsidP="00DA1BE0">
      <w:r>
        <w:t xml:space="preserve">The samples </w:t>
      </w:r>
      <w:r w:rsidR="00E30FA0">
        <w:t>were</w:t>
      </w:r>
      <w:r w:rsidR="00AD6D19">
        <w:t xml:space="preserve"> taken from </w:t>
      </w:r>
      <w:r w:rsidR="003B3B8B">
        <w:t>two</w:t>
      </w:r>
      <w:r w:rsidR="00C5489A">
        <w:t xml:space="preserve"> </w:t>
      </w:r>
      <w:r w:rsidR="00AD6D19">
        <w:t>salt marshes</w:t>
      </w:r>
      <w:r w:rsidR="00C5489A">
        <w:t xml:space="preserve"> </w:t>
      </w:r>
      <w:r w:rsidR="003B3B8B">
        <w:t xml:space="preserve">in each of six estuaries </w:t>
      </w:r>
      <w:r w:rsidR="00C5489A">
        <w:t>across England</w:t>
      </w:r>
      <w:r w:rsidR="003B3B8B">
        <w:t xml:space="preserve"> (Table 2)</w:t>
      </w:r>
      <w:r w:rsidR="002A6B1A">
        <w:t>.</w:t>
      </w:r>
    </w:p>
    <w:p w14:paraId="6EADBA72" w14:textId="77777777" w:rsidR="003B3B8B" w:rsidRDefault="003B3B8B" w:rsidP="00DA1BE0"/>
    <w:p w14:paraId="527CF3B8" w14:textId="59934089" w:rsidR="003B3B8B" w:rsidRPr="00DA1BE0" w:rsidRDefault="003B3B8B" w:rsidP="00DA1BE0">
      <w:bookmarkStart w:id="3" w:name="_Ref192784875"/>
      <w:r w:rsidRPr="00DA1BE0">
        <w:t>Table 2</w:t>
      </w:r>
      <w:bookmarkEnd w:id="3"/>
      <w:r w:rsidRPr="00DA1BE0">
        <w:t xml:space="preserve">: Sampling dates for the national </w:t>
      </w:r>
      <w:r w:rsidR="00E33EB2" w:rsidRPr="00DA1BE0">
        <w:t>salt marsh</w:t>
      </w:r>
      <w:r w:rsidRPr="00DA1BE0">
        <w:t xml:space="preserve"> survey</w:t>
      </w:r>
    </w:p>
    <w:tbl>
      <w:tblPr>
        <w:tblStyle w:val="PlainTable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418"/>
        <w:gridCol w:w="1947"/>
        <w:gridCol w:w="1685"/>
        <w:gridCol w:w="1891"/>
      </w:tblGrid>
      <w:tr w:rsidR="009F1E52" w:rsidRPr="00B6200C" w14:paraId="716AC8B5" w14:textId="7D19AC43" w:rsidTr="00E5529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1" w:type="dxa"/>
            <w:tcBorders>
              <w:bottom w:val="none" w:sz="0" w:space="0" w:color="auto"/>
            </w:tcBorders>
            <w:vAlign w:val="center"/>
          </w:tcPr>
          <w:p w14:paraId="1E9EC66B" w14:textId="77777777" w:rsidR="009F1E52" w:rsidRPr="00B6200C" w:rsidRDefault="009F1E52" w:rsidP="00E5529C">
            <w:pPr>
              <w:jc w:val="center"/>
              <w:rPr>
                <w:rFonts w:ascii="Aptos Narrow" w:hAnsi="Aptos Narrow"/>
                <w:sz w:val="22"/>
                <w:szCs w:val="22"/>
              </w:rPr>
            </w:pPr>
            <w:r w:rsidRPr="00B6200C">
              <w:rPr>
                <w:rFonts w:ascii="Aptos Narrow" w:hAnsi="Aptos Narrow"/>
                <w:sz w:val="22"/>
                <w:szCs w:val="22"/>
              </w:rPr>
              <w:t>Estuary</w:t>
            </w:r>
          </w:p>
        </w:tc>
        <w:tc>
          <w:tcPr>
            <w:tcW w:w="1418" w:type="dxa"/>
            <w:tcBorders>
              <w:bottom w:val="none" w:sz="0" w:space="0" w:color="auto"/>
            </w:tcBorders>
            <w:vAlign w:val="center"/>
          </w:tcPr>
          <w:p w14:paraId="4C2EB1EA" w14:textId="73F384E3" w:rsidR="009F1E52" w:rsidRPr="00B6200C" w:rsidRDefault="009F1E52" w:rsidP="00E5529C">
            <w:pPr>
              <w:jc w:val="center"/>
              <w:cnfStyle w:val="100000000000" w:firstRow="1" w:lastRow="0" w:firstColumn="0" w:lastColumn="0" w:oddVBand="0" w:evenVBand="0" w:oddHBand="0" w:evenHBand="0" w:firstRowFirstColumn="0" w:firstRowLastColumn="0" w:lastRowFirstColumn="0" w:lastRowLastColumn="0"/>
              <w:rPr>
                <w:rFonts w:ascii="Aptos Narrow" w:hAnsi="Aptos Narrow"/>
                <w:sz w:val="22"/>
                <w:szCs w:val="22"/>
              </w:rPr>
            </w:pPr>
            <w:r w:rsidRPr="00B6200C">
              <w:rPr>
                <w:rFonts w:ascii="Aptos Narrow" w:hAnsi="Aptos Narrow"/>
                <w:sz w:val="22"/>
                <w:szCs w:val="22"/>
              </w:rPr>
              <w:t>Salt marsh</w:t>
            </w:r>
          </w:p>
        </w:tc>
        <w:tc>
          <w:tcPr>
            <w:tcW w:w="1947" w:type="dxa"/>
            <w:tcBorders>
              <w:bottom w:val="none" w:sz="0" w:space="0" w:color="auto"/>
            </w:tcBorders>
            <w:vAlign w:val="center"/>
          </w:tcPr>
          <w:p w14:paraId="366C3CF1" w14:textId="77777777" w:rsidR="009F1E52" w:rsidRPr="00B6200C" w:rsidRDefault="009F1E52" w:rsidP="00E5529C">
            <w:pPr>
              <w:jc w:val="center"/>
              <w:cnfStyle w:val="100000000000" w:firstRow="1" w:lastRow="0" w:firstColumn="0" w:lastColumn="0" w:oddVBand="0" w:evenVBand="0" w:oddHBand="0" w:evenHBand="0" w:firstRowFirstColumn="0" w:firstRowLastColumn="0" w:lastRowFirstColumn="0" w:lastRowLastColumn="0"/>
              <w:rPr>
                <w:rFonts w:ascii="Aptos Narrow" w:hAnsi="Aptos Narrow"/>
                <w:sz w:val="22"/>
                <w:szCs w:val="22"/>
              </w:rPr>
            </w:pPr>
            <w:r w:rsidRPr="00B6200C">
              <w:rPr>
                <w:rFonts w:ascii="Aptos Narrow" w:hAnsi="Aptos Narrow"/>
                <w:sz w:val="22"/>
                <w:szCs w:val="22"/>
              </w:rPr>
              <w:t>Sampling Dates</w:t>
            </w:r>
          </w:p>
        </w:tc>
        <w:tc>
          <w:tcPr>
            <w:tcW w:w="1685" w:type="dxa"/>
            <w:tcBorders>
              <w:bottom w:val="none" w:sz="0" w:space="0" w:color="auto"/>
            </w:tcBorders>
            <w:vAlign w:val="center"/>
          </w:tcPr>
          <w:p w14:paraId="08B1039D" w14:textId="24E65E19" w:rsidR="009F1E52" w:rsidRPr="00B6200C" w:rsidRDefault="009F1E52" w:rsidP="00E5529C">
            <w:pPr>
              <w:jc w:val="center"/>
              <w:cnfStyle w:val="100000000000" w:firstRow="1" w:lastRow="0" w:firstColumn="0" w:lastColumn="0" w:oddVBand="0" w:evenVBand="0" w:oddHBand="0" w:evenHBand="0" w:firstRowFirstColumn="0" w:firstRowLastColumn="0" w:lastRowFirstColumn="0" w:lastRowLastColumn="0"/>
              <w:rPr>
                <w:rFonts w:ascii="Aptos Narrow" w:hAnsi="Aptos Narrow"/>
                <w:sz w:val="22"/>
                <w:szCs w:val="22"/>
              </w:rPr>
            </w:pPr>
            <w:r w:rsidRPr="00B6200C">
              <w:rPr>
                <w:rFonts w:ascii="Aptos Narrow" w:hAnsi="Aptos Narrow"/>
                <w:sz w:val="22"/>
                <w:szCs w:val="22"/>
              </w:rPr>
              <w:t>Centroid latitude</w:t>
            </w:r>
          </w:p>
        </w:tc>
        <w:tc>
          <w:tcPr>
            <w:tcW w:w="1891" w:type="dxa"/>
            <w:tcBorders>
              <w:bottom w:val="none" w:sz="0" w:space="0" w:color="auto"/>
            </w:tcBorders>
            <w:vAlign w:val="center"/>
          </w:tcPr>
          <w:p w14:paraId="5CF2759B" w14:textId="63AF12C5" w:rsidR="009F1E52" w:rsidRPr="00B6200C" w:rsidRDefault="009F1E52" w:rsidP="00E5529C">
            <w:pPr>
              <w:jc w:val="center"/>
              <w:cnfStyle w:val="100000000000" w:firstRow="1" w:lastRow="0" w:firstColumn="0" w:lastColumn="0" w:oddVBand="0" w:evenVBand="0" w:oddHBand="0" w:evenHBand="0" w:firstRowFirstColumn="0" w:firstRowLastColumn="0" w:lastRowFirstColumn="0" w:lastRowLastColumn="0"/>
              <w:rPr>
                <w:rFonts w:ascii="Aptos Narrow" w:hAnsi="Aptos Narrow"/>
                <w:sz w:val="22"/>
                <w:szCs w:val="22"/>
              </w:rPr>
            </w:pPr>
            <w:r w:rsidRPr="00B6200C">
              <w:rPr>
                <w:rFonts w:ascii="Aptos Narrow" w:hAnsi="Aptos Narrow"/>
                <w:sz w:val="22"/>
                <w:szCs w:val="22"/>
              </w:rPr>
              <w:t>Centroid longitude</w:t>
            </w:r>
          </w:p>
        </w:tc>
      </w:tr>
      <w:tr w:rsidR="00742FB7" w:rsidRPr="00B6200C" w14:paraId="707D346D" w14:textId="0D7F1062" w:rsidTr="00E5529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1" w:type="dxa"/>
            <w:tcBorders>
              <w:top w:val="none" w:sz="0" w:space="0" w:color="auto"/>
              <w:bottom w:val="none" w:sz="0" w:space="0" w:color="auto"/>
            </w:tcBorders>
            <w:vAlign w:val="center"/>
          </w:tcPr>
          <w:p w14:paraId="28A2BBD2" w14:textId="77777777" w:rsidR="00742FB7" w:rsidRPr="00B6200C" w:rsidRDefault="00742FB7" w:rsidP="00E5529C">
            <w:pPr>
              <w:jc w:val="center"/>
              <w:rPr>
                <w:rFonts w:ascii="Aptos Narrow" w:hAnsi="Aptos Narrow"/>
                <w:sz w:val="22"/>
                <w:szCs w:val="22"/>
              </w:rPr>
            </w:pPr>
            <w:r w:rsidRPr="00B6200C">
              <w:rPr>
                <w:rFonts w:ascii="Aptos Narrow" w:hAnsi="Aptos Narrow"/>
                <w:sz w:val="22"/>
                <w:szCs w:val="22"/>
              </w:rPr>
              <w:t>Solway</w:t>
            </w:r>
          </w:p>
        </w:tc>
        <w:tc>
          <w:tcPr>
            <w:tcW w:w="1418" w:type="dxa"/>
            <w:tcBorders>
              <w:top w:val="none" w:sz="0" w:space="0" w:color="auto"/>
              <w:bottom w:val="none" w:sz="0" w:space="0" w:color="auto"/>
            </w:tcBorders>
            <w:vAlign w:val="center"/>
          </w:tcPr>
          <w:p w14:paraId="060C28B5" w14:textId="77777777" w:rsidR="00742FB7" w:rsidRPr="00B6200C" w:rsidRDefault="00742FB7" w:rsidP="00E5529C">
            <w:pPr>
              <w:jc w:val="center"/>
              <w:cnfStyle w:val="000000100000" w:firstRow="0" w:lastRow="0" w:firstColumn="0" w:lastColumn="0" w:oddVBand="0" w:evenVBand="0" w:oddHBand="1" w:evenHBand="0" w:firstRowFirstColumn="0" w:firstRowLastColumn="0" w:lastRowFirstColumn="0" w:lastRowLastColumn="0"/>
              <w:rPr>
                <w:rFonts w:ascii="Aptos Narrow" w:hAnsi="Aptos Narrow"/>
                <w:sz w:val="22"/>
                <w:szCs w:val="22"/>
              </w:rPr>
            </w:pPr>
            <w:r w:rsidRPr="00B6200C">
              <w:rPr>
                <w:rFonts w:ascii="Aptos Narrow" w:hAnsi="Aptos Narrow"/>
                <w:sz w:val="22"/>
                <w:szCs w:val="22"/>
              </w:rPr>
              <w:t>Rockcliffe</w:t>
            </w:r>
          </w:p>
        </w:tc>
        <w:tc>
          <w:tcPr>
            <w:tcW w:w="1947" w:type="dxa"/>
            <w:tcBorders>
              <w:top w:val="none" w:sz="0" w:space="0" w:color="auto"/>
              <w:bottom w:val="none" w:sz="0" w:space="0" w:color="auto"/>
            </w:tcBorders>
            <w:vAlign w:val="center"/>
          </w:tcPr>
          <w:p w14:paraId="1B824AD3" w14:textId="77777777" w:rsidR="00742FB7" w:rsidRPr="00B6200C" w:rsidRDefault="00742FB7" w:rsidP="00E5529C">
            <w:pPr>
              <w:jc w:val="center"/>
              <w:cnfStyle w:val="000000100000" w:firstRow="0" w:lastRow="0" w:firstColumn="0" w:lastColumn="0" w:oddVBand="0" w:evenVBand="0" w:oddHBand="1" w:evenHBand="0" w:firstRowFirstColumn="0" w:firstRowLastColumn="0" w:lastRowFirstColumn="0" w:lastRowLastColumn="0"/>
              <w:rPr>
                <w:rFonts w:ascii="Aptos Narrow" w:hAnsi="Aptos Narrow"/>
                <w:sz w:val="22"/>
                <w:szCs w:val="22"/>
              </w:rPr>
            </w:pPr>
            <w:r w:rsidRPr="00B6200C">
              <w:rPr>
                <w:rFonts w:ascii="Aptos Narrow" w:hAnsi="Aptos Narrow"/>
                <w:sz w:val="22"/>
                <w:szCs w:val="22"/>
              </w:rPr>
              <w:t>16</w:t>
            </w:r>
            <w:r w:rsidRPr="00B6200C">
              <w:rPr>
                <w:rFonts w:ascii="Aptos Narrow" w:hAnsi="Aptos Narrow"/>
                <w:sz w:val="22"/>
                <w:szCs w:val="22"/>
                <w:vertAlign w:val="superscript"/>
              </w:rPr>
              <w:t>th</w:t>
            </w:r>
            <w:r w:rsidRPr="00B6200C">
              <w:rPr>
                <w:rFonts w:ascii="Aptos Narrow" w:hAnsi="Aptos Narrow"/>
                <w:sz w:val="22"/>
                <w:szCs w:val="22"/>
              </w:rPr>
              <w:t xml:space="preserve"> and 17</w:t>
            </w:r>
            <w:r w:rsidRPr="00B6200C">
              <w:rPr>
                <w:rFonts w:ascii="Aptos Narrow" w:hAnsi="Aptos Narrow"/>
                <w:sz w:val="22"/>
                <w:szCs w:val="22"/>
                <w:vertAlign w:val="superscript"/>
              </w:rPr>
              <w:t>th</w:t>
            </w:r>
            <w:r w:rsidRPr="00B6200C">
              <w:rPr>
                <w:rFonts w:ascii="Aptos Narrow" w:hAnsi="Aptos Narrow"/>
                <w:sz w:val="22"/>
                <w:szCs w:val="22"/>
              </w:rPr>
              <w:t xml:space="preserve"> September 2024</w:t>
            </w:r>
          </w:p>
        </w:tc>
        <w:tc>
          <w:tcPr>
            <w:tcW w:w="1685" w:type="dxa"/>
            <w:tcBorders>
              <w:top w:val="none" w:sz="0" w:space="0" w:color="auto"/>
              <w:bottom w:val="none" w:sz="0" w:space="0" w:color="auto"/>
            </w:tcBorders>
            <w:vAlign w:val="center"/>
          </w:tcPr>
          <w:p w14:paraId="3A7563D3" w14:textId="01DBD49E" w:rsidR="00742FB7" w:rsidRPr="00B6200C" w:rsidRDefault="00742FB7" w:rsidP="00E5529C">
            <w:pPr>
              <w:jc w:val="center"/>
              <w:cnfStyle w:val="000000100000" w:firstRow="0" w:lastRow="0" w:firstColumn="0" w:lastColumn="0" w:oddVBand="0" w:evenVBand="0" w:oddHBand="1" w:evenHBand="0" w:firstRowFirstColumn="0" w:firstRowLastColumn="0" w:lastRowFirstColumn="0" w:lastRowLastColumn="0"/>
              <w:rPr>
                <w:rFonts w:ascii="Aptos Narrow" w:hAnsi="Aptos Narrow"/>
                <w:sz w:val="22"/>
                <w:szCs w:val="22"/>
              </w:rPr>
            </w:pPr>
            <w:r w:rsidRPr="00B6200C">
              <w:rPr>
                <w:rFonts w:ascii="Aptos Narrow" w:hAnsi="Aptos Narrow"/>
                <w:sz w:val="22"/>
                <w:szCs w:val="22"/>
              </w:rPr>
              <w:t>54.95743517</w:t>
            </w:r>
          </w:p>
        </w:tc>
        <w:tc>
          <w:tcPr>
            <w:tcW w:w="1891" w:type="dxa"/>
            <w:tcBorders>
              <w:top w:val="none" w:sz="0" w:space="0" w:color="auto"/>
              <w:bottom w:val="none" w:sz="0" w:space="0" w:color="auto"/>
            </w:tcBorders>
            <w:vAlign w:val="center"/>
          </w:tcPr>
          <w:p w14:paraId="5EA441FD" w14:textId="69787009" w:rsidR="00742FB7" w:rsidRPr="00B6200C" w:rsidRDefault="00742FB7" w:rsidP="00E5529C">
            <w:pPr>
              <w:jc w:val="center"/>
              <w:cnfStyle w:val="000000100000" w:firstRow="0" w:lastRow="0" w:firstColumn="0" w:lastColumn="0" w:oddVBand="0" w:evenVBand="0" w:oddHBand="1" w:evenHBand="0" w:firstRowFirstColumn="0" w:firstRowLastColumn="0" w:lastRowFirstColumn="0" w:lastRowLastColumn="0"/>
              <w:rPr>
                <w:rFonts w:ascii="Aptos Narrow" w:hAnsi="Aptos Narrow"/>
                <w:sz w:val="22"/>
                <w:szCs w:val="22"/>
              </w:rPr>
            </w:pPr>
            <w:r w:rsidRPr="00B6200C">
              <w:rPr>
                <w:rFonts w:ascii="Aptos Narrow" w:hAnsi="Aptos Narrow"/>
                <w:sz w:val="22"/>
                <w:szCs w:val="22"/>
              </w:rPr>
              <w:t>-3.055737667</w:t>
            </w:r>
          </w:p>
        </w:tc>
      </w:tr>
      <w:tr w:rsidR="00FC1EFB" w:rsidRPr="00B6200C" w14:paraId="7A3555E5" w14:textId="11183358" w:rsidTr="00E5529C">
        <w:tc>
          <w:tcPr>
            <w:cnfStyle w:val="001000000000" w:firstRow="0" w:lastRow="0" w:firstColumn="1" w:lastColumn="0" w:oddVBand="0" w:evenVBand="0" w:oddHBand="0" w:evenHBand="0" w:firstRowFirstColumn="0" w:firstRowLastColumn="0" w:lastRowFirstColumn="0" w:lastRowLastColumn="0"/>
            <w:tcW w:w="1701" w:type="dxa"/>
            <w:vAlign w:val="center"/>
          </w:tcPr>
          <w:p w14:paraId="0E512725" w14:textId="77777777" w:rsidR="00FC1EFB" w:rsidRPr="00B6200C" w:rsidRDefault="00FC1EFB" w:rsidP="00E5529C">
            <w:pPr>
              <w:jc w:val="center"/>
              <w:rPr>
                <w:rFonts w:ascii="Aptos Narrow" w:hAnsi="Aptos Narrow"/>
                <w:sz w:val="22"/>
                <w:szCs w:val="22"/>
              </w:rPr>
            </w:pPr>
            <w:r w:rsidRPr="00B6200C">
              <w:rPr>
                <w:rFonts w:ascii="Aptos Narrow" w:hAnsi="Aptos Narrow"/>
                <w:sz w:val="22"/>
                <w:szCs w:val="22"/>
              </w:rPr>
              <w:t>Solway</w:t>
            </w:r>
          </w:p>
        </w:tc>
        <w:tc>
          <w:tcPr>
            <w:tcW w:w="1418" w:type="dxa"/>
            <w:vAlign w:val="center"/>
          </w:tcPr>
          <w:p w14:paraId="5A577F7F" w14:textId="77777777" w:rsidR="00FC1EFB" w:rsidRPr="00B6200C" w:rsidRDefault="00FC1EFB" w:rsidP="00E5529C">
            <w:pPr>
              <w:jc w:val="center"/>
              <w:cnfStyle w:val="000000000000" w:firstRow="0" w:lastRow="0" w:firstColumn="0" w:lastColumn="0" w:oddVBand="0" w:evenVBand="0" w:oddHBand="0" w:evenHBand="0" w:firstRowFirstColumn="0" w:firstRowLastColumn="0" w:lastRowFirstColumn="0" w:lastRowLastColumn="0"/>
              <w:rPr>
                <w:rFonts w:ascii="Aptos Narrow" w:hAnsi="Aptos Narrow"/>
                <w:sz w:val="22"/>
                <w:szCs w:val="22"/>
              </w:rPr>
            </w:pPr>
            <w:r w:rsidRPr="00B6200C">
              <w:rPr>
                <w:rFonts w:ascii="Aptos Narrow" w:hAnsi="Aptos Narrow"/>
                <w:sz w:val="22"/>
                <w:szCs w:val="22"/>
              </w:rPr>
              <w:t>Campfield</w:t>
            </w:r>
          </w:p>
        </w:tc>
        <w:tc>
          <w:tcPr>
            <w:tcW w:w="1947" w:type="dxa"/>
            <w:vAlign w:val="center"/>
          </w:tcPr>
          <w:p w14:paraId="69C308CB" w14:textId="77777777" w:rsidR="00FC1EFB" w:rsidRPr="00B6200C" w:rsidRDefault="00FC1EFB" w:rsidP="00E5529C">
            <w:pPr>
              <w:jc w:val="center"/>
              <w:cnfStyle w:val="000000000000" w:firstRow="0" w:lastRow="0" w:firstColumn="0" w:lastColumn="0" w:oddVBand="0" w:evenVBand="0" w:oddHBand="0" w:evenHBand="0" w:firstRowFirstColumn="0" w:firstRowLastColumn="0" w:lastRowFirstColumn="0" w:lastRowLastColumn="0"/>
              <w:rPr>
                <w:rFonts w:ascii="Aptos Narrow" w:hAnsi="Aptos Narrow"/>
                <w:sz w:val="22"/>
                <w:szCs w:val="22"/>
              </w:rPr>
            </w:pPr>
            <w:r w:rsidRPr="00B6200C">
              <w:rPr>
                <w:rFonts w:ascii="Aptos Narrow" w:hAnsi="Aptos Narrow"/>
                <w:sz w:val="22"/>
                <w:szCs w:val="22"/>
              </w:rPr>
              <w:t>18</w:t>
            </w:r>
            <w:r w:rsidRPr="00B6200C">
              <w:rPr>
                <w:rFonts w:ascii="Aptos Narrow" w:hAnsi="Aptos Narrow"/>
                <w:sz w:val="22"/>
                <w:szCs w:val="22"/>
                <w:vertAlign w:val="superscript"/>
              </w:rPr>
              <w:t>th</w:t>
            </w:r>
            <w:r w:rsidRPr="00B6200C">
              <w:rPr>
                <w:rFonts w:ascii="Aptos Narrow" w:hAnsi="Aptos Narrow"/>
                <w:sz w:val="22"/>
                <w:szCs w:val="22"/>
              </w:rPr>
              <w:t xml:space="preserve"> and 19</w:t>
            </w:r>
            <w:r w:rsidRPr="00B6200C">
              <w:rPr>
                <w:rFonts w:ascii="Aptos Narrow" w:hAnsi="Aptos Narrow"/>
                <w:sz w:val="22"/>
                <w:szCs w:val="22"/>
                <w:vertAlign w:val="superscript"/>
              </w:rPr>
              <w:t>th</w:t>
            </w:r>
            <w:r w:rsidRPr="00B6200C">
              <w:rPr>
                <w:rFonts w:ascii="Aptos Narrow" w:hAnsi="Aptos Narrow"/>
                <w:sz w:val="22"/>
                <w:szCs w:val="22"/>
              </w:rPr>
              <w:t xml:space="preserve"> September 2024</w:t>
            </w:r>
          </w:p>
        </w:tc>
        <w:tc>
          <w:tcPr>
            <w:tcW w:w="1685" w:type="dxa"/>
            <w:vAlign w:val="center"/>
          </w:tcPr>
          <w:p w14:paraId="0009DF8E" w14:textId="245E76B2" w:rsidR="00FC1EFB" w:rsidRPr="00B6200C" w:rsidRDefault="00FC1EFB" w:rsidP="00E5529C">
            <w:pPr>
              <w:jc w:val="center"/>
              <w:cnfStyle w:val="000000000000" w:firstRow="0" w:lastRow="0" w:firstColumn="0" w:lastColumn="0" w:oddVBand="0" w:evenVBand="0" w:oddHBand="0" w:evenHBand="0" w:firstRowFirstColumn="0" w:firstRowLastColumn="0" w:lastRowFirstColumn="0" w:lastRowLastColumn="0"/>
              <w:rPr>
                <w:rFonts w:ascii="Aptos Narrow" w:hAnsi="Aptos Narrow"/>
                <w:sz w:val="22"/>
                <w:szCs w:val="22"/>
              </w:rPr>
            </w:pPr>
            <w:r w:rsidRPr="00B6200C">
              <w:rPr>
                <w:rFonts w:ascii="Aptos Narrow" w:hAnsi="Aptos Narrow"/>
                <w:color w:val="000000"/>
                <w:sz w:val="22"/>
                <w:szCs w:val="22"/>
              </w:rPr>
              <w:t>54.94476</w:t>
            </w:r>
          </w:p>
        </w:tc>
        <w:tc>
          <w:tcPr>
            <w:tcW w:w="1891" w:type="dxa"/>
            <w:vAlign w:val="center"/>
          </w:tcPr>
          <w:p w14:paraId="68767874" w14:textId="56FC3DB0" w:rsidR="00FC1EFB" w:rsidRPr="00B6200C" w:rsidRDefault="00FC1EFB" w:rsidP="00E5529C">
            <w:pPr>
              <w:jc w:val="center"/>
              <w:cnfStyle w:val="000000000000" w:firstRow="0" w:lastRow="0" w:firstColumn="0" w:lastColumn="0" w:oddVBand="0" w:evenVBand="0" w:oddHBand="0" w:evenHBand="0" w:firstRowFirstColumn="0" w:firstRowLastColumn="0" w:lastRowFirstColumn="0" w:lastRowLastColumn="0"/>
              <w:rPr>
                <w:rFonts w:ascii="Aptos Narrow" w:hAnsi="Aptos Narrow"/>
                <w:sz w:val="22"/>
                <w:szCs w:val="22"/>
              </w:rPr>
            </w:pPr>
            <w:r w:rsidRPr="00B6200C">
              <w:rPr>
                <w:rFonts w:ascii="Aptos Narrow" w:hAnsi="Aptos Narrow"/>
                <w:color w:val="000000"/>
                <w:sz w:val="22"/>
                <w:szCs w:val="22"/>
              </w:rPr>
              <w:t>-3.24442</w:t>
            </w:r>
          </w:p>
        </w:tc>
      </w:tr>
      <w:tr w:rsidR="00FC1EFB" w:rsidRPr="00B6200C" w14:paraId="46DD5C8D" w14:textId="605AF5BE" w:rsidTr="00E5529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1" w:type="dxa"/>
            <w:tcBorders>
              <w:top w:val="none" w:sz="0" w:space="0" w:color="auto"/>
              <w:bottom w:val="none" w:sz="0" w:space="0" w:color="auto"/>
            </w:tcBorders>
            <w:vAlign w:val="center"/>
          </w:tcPr>
          <w:p w14:paraId="6B2D1F96" w14:textId="77777777" w:rsidR="00FC1EFB" w:rsidRPr="00B6200C" w:rsidRDefault="00FC1EFB" w:rsidP="00E5529C">
            <w:pPr>
              <w:jc w:val="center"/>
              <w:rPr>
                <w:rFonts w:ascii="Aptos Narrow" w:hAnsi="Aptos Narrow"/>
                <w:sz w:val="22"/>
                <w:szCs w:val="22"/>
              </w:rPr>
            </w:pPr>
            <w:r w:rsidRPr="00B6200C">
              <w:rPr>
                <w:rFonts w:ascii="Aptos Narrow" w:hAnsi="Aptos Narrow"/>
                <w:sz w:val="22"/>
                <w:szCs w:val="22"/>
              </w:rPr>
              <w:t>Morecambe Bay</w:t>
            </w:r>
          </w:p>
        </w:tc>
        <w:tc>
          <w:tcPr>
            <w:tcW w:w="1418" w:type="dxa"/>
            <w:tcBorders>
              <w:top w:val="none" w:sz="0" w:space="0" w:color="auto"/>
              <w:bottom w:val="none" w:sz="0" w:space="0" w:color="auto"/>
            </w:tcBorders>
            <w:vAlign w:val="center"/>
          </w:tcPr>
          <w:p w14:paraId="3D219ED3" w14:textId="77777777" w:rsidR="00FC1EFB" w:rsidRPr="00B6200C" w:rsidRDefault="00FC1EFB" w:rsidP="00E5529C">
            <w:pPr>
              <w:jc w:val="center"/>
              <w:cnfStyle w:val="000000100000" w:firstRow="0" w:lastRow="0" w:firstColumn="0" w:lastColumn="0" w:oddVBand="0" w:evenVBand="0" w:oddHBand="1" w:evenHBand="0" w:firstRowFirstColumn="0" w:firstRowLastColumn="0" w:lastRowFirstColumn="0" w:lastRowLastColumn="0"/>
              <w:rPr>
                <w:rFonts w:ascii="Aptos Narrow" w:hAnsi="Aptos Narrow"/>
                <w:sz w:val="22"/>
                <w:szCs w:val="22"/>
              </w:rPr>
            </w:pPr>
            <w:r w:rsidRPr="00B6200C">
              <w:rPr>
                <w:rFonts w:ascii="Aptos Narrow" w:hAnsi="Aptos Narrow"/>
                <w:sz w:val="22"/>
                <w:szCs w:val="22"/>
              </w:rPr>
              <w:t>Cartmel Sands</w:t>
            </w:r>
          </w:p>
        </w:tc>
        <w:tc>
          <w:tcPr>
            <w:tcW w:w="1947" w:type="dxa"/>
            <w:tcBorders>
              <w:top w:val="none" w:sz="0" w:space="0" w:color="auto"/>
              <w:bottom w:val="none" w:sz="0" w:space="0" w:color="auto"/>
            </w:tcBorders>
            <w:vAlign w:val="center"/>
          </w:tcPr>
          <w:p w14:paraId="4DD6DCB1" w14:textId="77777777" w:rsidR="00FC1EFB" w:rsidRPr="00B6200C" w:rsidRDefault="00FC1EFB" w:rsidP="00E5529C">
            <w:pPr>
              <w:jc w:val="center"/>
              <w:cnfStyle w:val="000000100000" w:firstRow="0" w:lastRow="0" w:firstColumn="0" w:lastColumn="0" w:oddVBand="0" w:evenVBand="0" w:oddHBand="1" w:evenHBand="0" w:firstRowFirstColumn="0" w:firstRowLastColumn="0" w:lastRowFirstColumn="0" w:lastRowLastColumn="0"/>
              <w:rPr>
                <w:rFonts w:ascii="Aptos Narrow" w:hAnsi="Aptos Narrow"/>
                <w:sz w:val="22"/>
                <w:szCs w:val="22"/>
              </w:rPr>
            </w:pPr>
            <w:r w:rsidRPr="00B6200C">
              <w:rPr>
                <w:rFonts w:ascii="Aptos Narrow" w:hAnsi="Aptos Narrow"/>
                <w:sz w:val="22"/>
                <w:szCs w:val="22"/>
              </w:rPr>
              <w:t>20</w:t>
            </w:r>
            <w:r w:rsidRPr="00B6200C">
              <w:rPr>
                <w:rFonts w:ascii="Aptos Narrow" w:hAnsi="Aptos Narrow"/>
                <w:sz w:val="22"/>
                <w:szCs w:val="22"/>
                <w:vertAlign w:val="superscript"/>
              </w:rPr>
              <w:t>th</w:t>
            </w:r>
            <w:r w:rsidRPr="00B6200C">
              <w:rPr>
                <w:rFonts w:ascii="Aptos Narrow" w:hAnsi="Aptos Narrow"/>
                <w:sz w:val="22"/>
                <w:szCs w:val="22"/>
              </w:rPr>
              <w:t xml:space="preserve"> November 2024</w:t>
            </w:r>
          </w:p>
        </w:tc>
        <w:tc>
          <w:tcPr>
            <w:tcW w:w="1685" w:type="dxa"/>
            <w:tcBorders>
              <w:top w:val="none" w:sz="0" w:space="0" w:color="auto"/>
              <w:bottom w:val="none" w:sz="0" w:space="0" w:color="auto"/>
            </w:tcBorders>
            <w:vAlign w:val="center"/>
          </w:tcPr>
          <w:p w14:paraId="3BB56690" w14:textId="20C9D0FB" w:rsidR="00FC1EFB" w:rsidRPr="00B6200C" w:rsidRDefault="00FC1EFB" w:rsidP="00E5529C">
            <w:pPr>
              <w:jc w:val="center"/>
              <w:cnfStyle w:val="000000100000" w:firstRow="0" w:lastRow="0" w:firstColumn="0" w:lastColumn="0" w:oddVBand="0" w:evenVBand="0" w:oddHBand="1" w:evenHBand="0" w:firstRowFirstColumn="0" w:firstRowLastColumn="0" w:lastRowFirstColumn="0" w:lastRowLastColumn="0"/>
              <w:rPr>
                <w:rFonts w:ascii="Aptos Narrow" w:hAnsi="Aptos Narrow"/>
                <w:sz w:val="22"/>
                <w:szCs w:val="22"/>
              </w:rPr>
            </w:pPr>
            <w:r w:rsidRPr="00B6200C">
              <w:rPr>
                <w:rFonts w:ascii="Aptos Narrow" w:hAnsi="Aptos Narrow"/>
                <w:color w:val="000000"/>
                <w:sz w:val="22"/>
                <w:szCs w:val="22"/>
              </w:rPr>
              <w:t>54.17088</w:t>
            </w:r>
          </w:p>
        </w:tc>
        <w:tc>
          <w:tcPr>
            <w:tcW w:w="1891" w:type="dxa"/>
            <w:tcBorders>
              <w:top w:val="none" w:sz="0" w:space="0" w:color="auto"/>
              <w:bottom w:val="none" w:sz="0" w:space="0" w:color="auto"/>
            </w:tcBorders>
            <w:vAlign w:val="center"/>
          </w:tcPr>
          <w:p w14:paraId="1C9265D9" w14:textId="7962DEDC" w:rsidR="00FC1EFB" w:rsidRPr="00B6200C" w:rsidRDefault="00FC1EFB" w:rsidP="00E5529C">
            <w:pPr>
              <w:jc w:val="center"/>
              <w:cnfStyle w:val="000000100000" w:firstRow="0" w:lastRow="0" w:firstColumn="0" w:lastColumn="0" w:oddVBand="0" w:evenVBand="0" w:oddHBand="1" w:evenHBand="0" w:firstRowFirstColumn="0" w:firstRowLastColumn="0" w:lastRowFirstColumn="0" w:lastRowLastColumn="0"/>
              <w:rPr>
                <w:rFonts w:ascii="Aptos Narrow" w:hAnsi="Aptos Narrow"/>
                <w:sz w:val="22"/>
                <w:szCs w:val="22"/>
              </w:rPr>
            </w:pPr>
            <w:r w:rsidRPr="00B6200C">
              <w:rPr>
                <w:rFonts w:ascii="Aptos Narrow" w:hAnsi="Aptos Narrow"/>
                <w:color w:val="000000"/>
                <w:sz w:val="22"/>
                <w:szCs w:val="22"/>
              </w:rPr>
              <w:t>-2.99528</w:t>
            </w:r>
          </w:p>
        </w:tc>
      </w:tr>
      <w:tr w:rsidR="00FC1EFB" w:rsidRPr="00B6200C" w14:paraId="26BA31E6" w14:textId="493FB795" w:rsidTr="00E5529C">
        <w:tc>
          <w:tcPr>
            <w:cnfStyle w:val="001000000000" w:firstRow="0" w:lastRow="0" w:firstColumn="1" w:lastColumn="0" w:oddVBand="0" w:evenVBand="0" w:oddHBand="0" w:evenHBand="0" w:firstRowFirstColumn="0" w:firstRowLastColumn="0" w:lastRowFirstColumn="0" w:lastRowLastColumn="0"/>
            <w:tcW w:w="1701" w:type="dxa"/>
            <w:vAlign w:val="center"/>
          </w:tcPr>
          <w:p w14:paraId="3534566E" w14:textId="77777777" w:rsidR="00FC1EFB" w:rsidRPr="00B6200C" w:rsidRDefault="00FC1EFB" w:rsidP="00E5529C">
            <w:pPr>
              <w:jc w:val="center"/>
              <w:rPr>
                <w:rFonts w:ascii="Aptos Narrow" w:hAnsi="Aptos Narrow"/>
                <w:sz w:val="22"/>
                <w:szCs w:val="22"/>
              </w:rPr>
            </w:pPr>
            <w:r w:rsidRPr="00B6200C">
              <w:rPr>
                <w:rFonts w:ascii="Aptos Narrow" w:hAnsi="Aptos Narrow"/>
                <w:sz w:val="22"/>
                <w:szCs w:val="22"/>
              </w:rPr>
              <w:t>Morecambe Bay</w:t>
            </w:r>
          </w:p>
        </w:tc>
        <w:tc>
          <w:tcPr>
            <w:tcW w:w="1418" w:type="dxa"/>
            <w:vAlign w:val="center"/>
          </w:tcPr>
          <w:p w14:paraId="33E47F32" w14:textId="77777777" w:rsidR="00FC1EFB" w:rsidRPr="00B6200C" w:rsidRDefault="00FC1EFB" w:rsidP="00E5529C">
            <w:pPr>
              <w:jc w:val="center"/>
              <w:cnfStyle w:val="000000000000" w:firstRow="0" w:lastRow="0" w:firstColumn="0" w:lastColumn="0" w:oddVBand="0" w:evenVBand="0" w:oddHBand="0" w:evenHBand="0" w:firstRowFirstColumn="0" w:firstRowLastColumn="0" w:lastRowFirstColumn="0" w:lastRowLastColumn="0"/>
              <w:rPr>
                <w:rFonts w:ascii="Aptos Narrow" w:hAnsi="Aptos Narrow"/>
                <w:sz w:val="22"/>
                <w:szCs w:val="22"/>
              </w:rPr>
            </w:pPr>
            <w:r w:rsidRPr="00B6200C">
              <w:rPr>
                <w:rFonts w:ascii="Aptos Narrow" w:hAnsi="Aptos Narrow"/>
                <w:sz w:val="22"/>
                <w:szCs w:val="22"/>
              </w:rPr>
              <w:t>Bolton-le-Sands</w:t>
            </w:r>
          </w:p>
        </w:tc>
        <w:tc>
          <w:tcPr>
            <w:tcW w:w="1947" w:type="dxa"/>
            <w:vAlign w:val="center"/>
          </w:tcPr>
          <w:p w14:paraId="5FF074B5" w14:textId="77777777" w:rsidR="00FC1EFB" w:rsidRPr="00B6200C" w:rsidRDefault="00FC1EFB" w:rsidP="00E5529C">
            <w:pPr>
              <w:jc w:val="center"/>
              <w:cnfStyle w:val="000000000000" w:firstRow="0" w:lastRow="0" w:firstColumn="0" w:lastColumn="0" w:oddVBand="0" w:evenVBand="0" w:oddHBand="0" w:evenHBand="0" w:firstRowFirstColumn="0" w:firstRowLastColumn="0" w:lastRowFirstColumn="0" w:lastRowLastColumn="0"/>
              <w:rPr>
                <w:rFonts w:ascii="Aptos Narrow" w:hAnsi="Aptos Narrow"/>
                <w:sz w:val="22"/>
                <w:szCs w:val="22"/>
              </w:rPr>
            </w:pPr>
            <w:r w:rsidRPr="00B6200C">
              <w:rPr>
                <w:rFonts w:ascii="Aptos Narrow" w:hAnsi="Aptos Narrow"/>
                <w:sz w:val="22"/>
                <w:szCs w:val="22"/>
              </w:rPr>
              <w:t>19</w:t>
            </w:r>
            <w:r w:rsidRPr="00B6200C">
              <w:rPr>
                <w:rFonts w:ascii="Aptos Narrow" w:hAnsi="Aptos Narrow"/>
                <w:sz w:val="22"/>
                <w:szCs w:val="22"/>
                <w:vertAlign w:val="superscript"/>
              </w:rPr>
              <w:t>th</w:t>
            </w:r>
            <w:r w:rsidRPr="00B6200C">
              <w:rPr>
                <w:rFonts w:ascii="Aptos Narrow" w:hAnsi="Aptos Narrow"/>
                <w:sz w:val="22"/>
                <w:szCs w:val="22"/>
              </w:rPr>
              <w:t xml:space="preserve"> November 2024</w:t>
            </w:r>
          </w:p>
        </w:tc>
        <w:tc>
          <w:tcPr>
            <w:tcW w:w="1685" w:type="dxa"/>
            <w:vAlign w:val="center"/>
          </w:tcPr>
          <w:p w14:paraId="1128B30A" w14:textId="3D33A6A1" w:rsidR="00FC1EFB" w:rsidRPr="00B6200C" w:rsidRDefault="00FC1EFB" w:rsidP="00E5529C">
            <w:pPr>
              <w:jc w:val="center"/>
              <w:cnfStyle w:val="000000000000" w:firstRow="0" w:lastRow="0" w:firstColumn="0" w:lastColumn="0" w:oddVBand="0" w:evenVBand="0" w:oddHBand="0" w:evenHBand="0" w:firstRowFirstColumn="0" w:firstRowLastColumn="0" w:lastRowFirstColumn="0" w:lastRowLastColumn="0"/>
              <w:rPr>
                <w:rFonts w:ascii="Aptos Narrow" w:hAnsi="Aptos Narrow"/>
                <w:sz w:val="22"/>
                <w:szCs w:val="22"/>
              </w:rPr>
            </w:pPr>
            <w:r w:rsidRPr="00B6200C">
              <w:rPr>
                <w:rFonts w:ascii="Aptos Narrow" w:hAnsi="Aptos Narrow"/>
                <w:color w:val="000000"/>
                <w:sz w:val="22"/>
                <w:szCs w:val="22"/>
              </w:rPr>
              <w:t>54.11419</w:t>
            </w:r>
          </w:p>
        </w:tc>
        <w:tc>
          <w:tcPr>
            <w:tcW w:w="1891" w:type="dxa"/>
            <w:vAlign w:val="center"/>
          </w:tcPr>
          <w:p w14:paraId="2C7299AF" w14:textId="018C3A65" w:rsidR="00FC1EFB" w:rsidRPr="00B6200C" w:rsidRDefault="00FC1EFB" w:rsidP="00E5529C">
            <w:pPr>
              <w:jc w:val="center"/>
              <w:cnfStyle w:val="000000000000" w:firstRow="0" w:lastRow="0" w:firstColumn="0" w:lastColumn="0" w:oddVBand="0" w:evenVBand="0" w:oddHBand="0" w:evenHBand="0" w:firstRowFirstColumn="0" w:firstRowLastColumn="0" w:lastRowFirstColumn="0" w:lastRowLastColumn="0"/>
              <w:rPr>
                <w:rFonts w:ascii="Aptos Narrow" w:hAnsi="Aptos Narrow"/>
                <w:sz w:val="22"/>
                <w:szCs w:val="22"/>
              </w:rPr>
            </w:pPr>
            <w:r w:rsidRPr="00B6200C">
              <w:rPr>
                <w:rFonts w:ascii="Aptos Narrow" w:hAnsi="Aptos Narrow"/>
                <w:color w:val="000000"/>
                <w:sz w:val="22"/>
                <w:szCs w:val="22"/>
              </w:rPr>
              <w:t>-2.80124</w:t>
            </w:r>
          </w:p>
        </w:tc>
      </w:tr>
      <w:tr w:rsidR="00B6200C" w:rsidRPr="00B6200C" w14:paraId="63729CDD" w14:textId="0C045F15" w:rsidTr="00E5529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1" w:type="dxa"/>
            <w:tcBorders>
              <w:top w:val="none" w:sz="0" w:space="0" w:color="auto"/>
              <w:bottom w:val="none" w:sz="0" w:space="0" w:color="auto"/>
            </w:tcBorders>
            <w:vAlign w:val="center"/>
          </w:tcPr>
          <w:p w14:paraId="50191ED8" w14:textId="77777777" w:rsidR="00B6200C" w:rsidRPr="00B6200C" w:rsidRDefault="00B6200C" w:rsidP="00E5529C">
            <w:pPr>
              <w:jc w:val="center"/>
              <w:rPr>
                <w:rFonts w:ascii="Aptos Narrow" w:hAnsi="Aptos Narrow"/>
                <w:sz w:val="22"/>
                <w:szCs w:val="22"/>
              </w:rPr>
            </w:pPr>
            <w:r w:rsidRPr="00B6200C">
              <w:rPr>
                <w:rFonts w:ascii="Aptos Narrow" w:hAnsi="Aptos Narrow"/>
                <w:sz w:val="22"/>
                <w:szCs w:val="22"/>
              </w:rPr>
              <w:t>Ribble</w:t>
            </w:r>
          </w:p>
        </w:tc>
        <w:tc>
          <w:tcPr>
            <w:tcW w:w="1418" w:type="dxa"/>
            <w:tcBorders>
              <w:top w:val="none" w:sz="0" w:space="0" w:color="auto"/>
              <w:bottom w:val="none" w:sz="0" w:space="0" w:color="auto"/>
            </w:tcBorders>
            <w:vAlign w:val="center"/>
          </w:tcPr>
          <w:p w14:paraId="6EC11996" w14:textId="77777777" w:rsidR="00B6200C" w:rsidRPr="00B6200C" w:rsidRDefault="00B6200C" w:rsidP="00E5529C">
            <w:pPr>
              <w:jc w:val="center"/>
              <w:cnfStyle w:val="000000100000" w:firstRow="0" w:lastRow="0" w:firstColumn="0" w:lastColumn="0" w:oddVBand="0" w:evenVBand="0" w:oddHBand="1" w:evenHBand="0" w:firstRowFirstColumn="0" w:firstRowLastColumn="0" w:lastRowFirstColumn="0" w:lastRowLastColumn="0"/>
              <w:rPr>
                <w:rFonts w:ascii="Aptos Narrow" w:hAnsi="Aptos Narrow"/>
                <w:sz w:val="22"/>
                <w:szCs w:val="22"/>
              </w:rPr>
            </w:pPr>
            <w:r w:rsidRPr="00B6200C">
              <w:rPr>
                <w:rFonts w:ascii="Aptos Narrow" w:hAnsi="Aptos Narrow"/>
                <w:sz w:val="22"/>
                <w:szCs w:val="22"/>
              </w:rPr>
              <w:t>Warton Bank</w:t>
            </w:r>
          </w:p>
        </w:tc>
        <w:tc>
          <w:tcPr>
            <w:tcW w:w="1947" w:type="dxa"/>
            <w:tcBorders>
              <w:top w:val="none" w:sz="0" w:space="0" w:color="auto"/>
              <w:bottom w:val="none" w:sz="0" w:space="0" w:color="auto"/>
            </w:tcBorders>
            <w:vAlign w:val="center"/>
          </w:tcPr>
          <w:p w14:paraId="00FF7686" w14:textId="77777777" w:rsidR="00B6200C" w:rsidRPr="00B6200C" w:rsidRDefault="00B6200C" w:rsidP="00E5529C">
            <w:pPr>
              <w:jc w:val="center"/>
              <w:cnfStyle w:val="000000100000" w:firstRow="0" w:lastRow="0" w:firstColumn="0" w:lastColumn="0" w:oddVBand="0" w:evenVBand="0" w:oddHBand="1" w:evenHBand="0" w:firstRowFirstColumn="0" w:firstRowLastColumn="0" w:lastRowFirstColumn="0" w:lastRowLastColumn="0"/>
              <w:rPr>
                <w:rFonts w:ascii="Aptos Narrow" w:hAnsi="Aptos Narrow"/>
                <w:sz w:val="22"/>
                <w:szCs w:val="22"/>
              </w:rPr>
            </w:pPr>
            <w:r w:rsidRPr="00B6200C">
              <w:rPr>
                <w:rFonts w:ascii="Aptos Narrow" w:hAnsi="Aptos Narrow"/>
                <w:sz w:val="22"/>
                <w:szCs w:val="22"/>
              </w:rPr>
              <w:t>29</w:t>
            </w:r>
            <w:r w:rsidRPr="00B6200C">
              <w:rPr>
                <w:rFonts w:ascii="Aptos Narrow" w:hAnsi="Aptos Narrow"/>
                <w:sz w:val="22"/>
                <w:szCs w:val="22"/>
                <w:vertAlign w:val="superscript"/>
              </w:rPr>
              <w:t>th</w:t>
            </w:r>
            <w:r w:rsidRPr="00B6200C">
              <w:rPr>
                <w:rFonts w:ascii="Aptos Narrow" w:hAnsi="Aptos Narrow"/>
                <w:sz w:val="22"/>
                <w:szCs w:val="22"/>
              </w:rPr>
              <w:t xml:space="preserve"> and 30</w:t>
            </w:r>
            <w:r w:rsidRPr="00B6200C">
              <w:rPr>
                <w:rFonts w:ascii="Aptos Narrow" w:hAnsi="Aptos Narrow"/>
                <w:sz w:val="22"/>
                <w:szCs w:val="22"/>
                <w:vertAlign w:val="superscript"/>
              </w:rPr>
              <w:t>th</w:t>
            </w:r>
            <w:r w:rsidRPr="00B6200C">
              <w:rPr>
                <w:rFonts w:ascii="Aptos Narrow" w:hAnsi="Aptos Narrow"/>
                <w:sz w:val="22"/>
                <w:szCs w:val="22"/>
              </w:rPr>
              <w:t xml:space="preserve"> August 2024</w:t>
            </w:r>
          </w:p>
        </w:tc>
        <w:tc>
          <w:tcPr>
            <w:tcW w:w="1685" w:type="dxa"/>
            <w:tcBorders>
              <w:top w:val="none" w:sz="0" w:space="0" w:color="auto"/>
              <w:bottom w:val="none" w:sz="0" w:space="0" w:color="auto"/>
            </w:tcBorders>
            <w:vAlign w:val="center"/>
          </w:tcPr>
          <w:p w14:paraId="3ADEE775" w14:textId="2092ABFE" w:rsidR="00B6200C" w:rsidRPr="00B6200C" w:rsidRDefault="00B6200C" w:rsidP="00E5529C">
            <w:pPr>
              <w:jc w:val="center"/>
              <w:cnfStyle w:val="000000100000" w:firstRow="0" w:lastRow="0" w:firstColumn="0" w:lastColumn="0" w:oddVBand="0" w:evenVBand="0" w:oddHBand="1" w:evenHBand="0" w:firstRowFirstColumn="0" w:firstRowLastColumn="0" w:lastRowFirstColumn="0" w:lastRowLastColumn="0"/>
              <w:rPr>
                <w:rFonts w:ascii="Aptos Narrow" w:hAnsi="Aptos Narrow"/>
                <w:sz w:val="22"/>
                <w:szCs w:val="22"/>
              </w:rPr>
            </w:pPr>
            <w:r w:rsidRPr="00B6200C">
              <w:rPr>
                <w:rFonts w:ascii="Aptos Narrow" w:hAnsi="Aptos Narrow"/>
                <w:color w:val="000000"/>
                <w:sz w:val="22"/>
                <w:szCs w:val="22"/>
              </w:rPr>
              <w:t>53.73339</w:t>
            </w:r>
          </w:p>
        </w:tc>
        <w:tc>
          <w:tcPr>
            <w:tcW w:w="1891" w:type="dxa"/>
            <w:tcBorders>
              <w:top w:val="none" w:sz="0" w:space="0" w:color="auto"/>
              <w:bottom w:val="none" w:sz="0" w:space="0" w:color="auto"/>
            </w:tcBorders>
            <w:vAlign w:val="center"/>
          </w:tcPr>
          <w:p w14:paraId="1EC069E5" w14:textId="35DD042B" w:rsidR="00B6200C" w:rsidRPr="00B6200C" w:rsidRDefault="00B6200C" w:rsidP="00E5529C">
            <w:pPr>
              <w:jc w:val="center"/>
              <w:cnfStyle w:val="000000100000" w:firstRow="0" w:lastRow="0" w:firstColumn="0" w:lastColumn="0" w:oddVBand="0" w:evenVBand="0" w:oddHBand="1" w:evenHBand="0" w:firstRowFirstColumn="0" w:firstRowLastColumn="0" w:lastRowFirstColumn="0" w:lastRowLastColumn="0"/>
              <w:rPr>
                <w:rFonts w:ascii="Aptos Narrow" w:hAnsi="Aptos Narrow"/>
                <w:sz w:val="22"/>
                <w:szCs w:val="22"/>
              </w:rPr>
            </w:pPr>
            <w:r w:rsidRPr="00B6200C">
              <w:rPr>
                <w:rFonts w:ascii="Aptos Narrow" w:hAnsi="Aptos Narrow"/>
                <w:color w:val="000000"/>
                <w:sz w:val="22"/>
                <w:szCs w:val="22"/>
              </w:rPr>
              <w:t>-2.92509</w:t>
            </w:r>
          </w:p>
        </w:tc>
      </w:tr>
      <w:tr w:rsidR="00B6200C" w:rsidRPr="00B6200C" w14:paraId="3CF504DF" w14:textId="44FEC570" w:rsidTr="00E5529C">
        <w:tc>
          <w:tcPr>
            <w:cnfStyle w:val="001000000000" w:firstRow="0" w:lastRow="0" w:firstColumn="1" w:lastColumn="0" w:oddVBand="0" w:evenVBand="0" w:oddHBand="0" w:evenHBand="0" w:firstRowFirstColumn="0" w:firstRowLastColumn="0" w:lastRowFirstColumn="0" w:lastRowLastColumn="0"/>
            <w:tcW w:w="1701" w:type="dxa"/>
            <w:vAlign w:val="center"/>
          </w:tcPr>
          <w:p w14:paraId="3EF8AE3E" w14:textId="77777777" w:rsidR="00B6200C" w:rsidRPr="00B6200C" w:rsidRDefault="00B6200C" w:rsidP="00E5529C">
            <w:pPr>
              <w:jc w:val="center"/>
              <w:rPr>
                <w:rFonts w:ascii="Aptos Narrow" w:hAnsi="Aptos Narrow"/>
                <w:sz w:val="22"/>
                <w:szCs w:val="22"/>
              </w:rPr>
            </w:pPr>
            <w:r w:rsidRPr="00B6200C">
              <w:rPr>
                <w:rFonts w:ascii="Aptos Narrow" w:hAnsi="Aptos Narrow"/>
                <w:sz w:val="22"/>
                <w:szCs w:val="22"/>
              </w:rPr>
              <w:t>Ribble</w:t>
            </w:r>
          </w:p>
        </w:tc>
        <w:tc>
          <w:tcPr>
            <w:tcW w:w="1418" w:type="dxa"/>
            <w:vAlign w:val="center"/>
          </w:tcPr>
          <w:p w14:paraId="65414B4D" w14:textId="77777777" w:rsidR="00B6200C" w:rsidRPr="00B6200C" w:rsidRDefault="00B6200C" w:rsidP="00E5529C">
            <w:pPr>
              <w:jc w:val="center"/>
              <w:cnfStyle w:val="000000000000" w:firstRow="0" w:lastRow="0" w:firstColumn="0" w:lastColumn="0" w:oddVBand="0" w:evenVBand="0" w:oddHBand="0" w:evenHBand="0" w:firstRowFirstColumn="0" w:firstRowLastColumn="0" w:lastRowFirstColumn="0" w:lastRowLastColumn="0"/>
              <w:rPr>
                <w:rFonts w:ascii="Aptos Narrow" w:hAnsi="Aptos Narrow"/>
                <w:sz w:val="22"/>
                <w:szCs w:val="22"/>
              </w:rPr>
            </w:pPr>
            <w:r w:rsidRPr="00B6200C">
              <w:rPr>
                <w:rFonts w:ascii="Aptos Narrow" w:hAnsi="Aptos Narrow"/>
                <w:sz w:val="22"/>
                <w:szCs w:val="22"/>
              </w:rPr>
              <w:t>Banks</w:t>
            </w:r>
          </w:p>
        </w:tc>
        <w:tc>
          <w:tcPr>
            <w:tcW w:w="1947" w:type="dxa"/>
            <w:vAlign w:val="center"/>
          </w:tcPr>
          <w:p w14:paraId="14F2AD74" w14:textId="77777777" w:rsidR="00B6200C" w:rsidRPr="00B6200C" w:rsidRDefault="00B6200C" w:rsidP="00E5529C">
            <w:pPr>
              <w:jc w:val="center"/>
              <w:cnfStyle w:val="000000000000" w:firstRow="0" w:lastRow="0" w:firstColumn="0" w:lastColumn="0" w:oddVBand="0" w:evenVBand="0" w:oddHBand="0" w:evenHBand="0" w:firstRowFirstColumn="0" w:firstRowLastColumn="0" w:lastRowFirstColumn="0" w:lastRowLastColumn="0"/>
              <w:rPr>
                <w:rFonts w:ascii="Aptos Narrow" w:hAnsi="Aptos Narrow"/>
                <w:sz w:val="22"/>
                <w:szCs w:val="22"/>
              </w:rPr>
            </w:pPr>
            <w:r w:rsidRPr="00B6200C">
              <w:rPr>
                <w:rFonts w:ascii="Aptos Narrow" w:hAnsi="Aptos Narrow"/>
                <w:sz w:val="22"/>
                <w:szCs w:val="22"/>
              </w:rPr>
              <w:t>28</w:t>
            </w:r>
            <w:r w:rsidRPr="00B6200C">
              <w:rPr>
                <w:rFonts w:ascii="Aptos Narrow" w:hAnsi="Aptos Narrow"/>
                <w:sz w:val="22"/>
                <w:szCs w:val="22"/>
                <w:vertAlign w:val="superscript"/>
              </w:rPr>
              <w:t>th</w:t>
            </w:r>
            <w:r w:rsidRPr="00B6200C">
              <w:rPr>
                <w:rFonts w:ascii="Aptos Narrow" w:hAnsi="Aptos Narrow"/>
                <w:sz w:val="22"/>
                <w:szCs w:val="22"/>
              </w:rPr>
              <w:t xml:space="preserve"> August 2024</w:t>
            </w:r>
          </w:p>
        </w:tc>
        <w:tc>
          <w:tcPr>
            <w:tcW w:w="1685" w:type="dxa"/>
            <w:vAlign w:val="center"/>
          </w:tcPr>
          <w:p w14:paraId="2D7B4B3E" w14:textId="4AEEDF48" w:rsidR="00B6200C" w:rsidRPr="00B6200C" w:rsidRDefault="00B6200C" w:rsidP="00E5529C">
            <w:pPr>
              <w:jc w:val="center"/>
              <w:cnfStyle w:val="000000000000" w:firstRow="0" w:lastRow="0" w:firstColumn="0" w:lastColumn="0" w:oddVBand="0" w:evenVBand="0" w:oddHBand="0" w:evenHBand="0" w:firstRowFirstColumn="0" w:firstRowLastColumn="0" w:lastRowFirstColumn="0" w:lastRowLastColumn="0"/>
              <w:rPr>
                <w:rFonts w:ascii="Aptos Narrow" w:hAnsi="Aptos Narrow"/>
                <w:sz w:val="22"/>
                <w:szCs w:val="22"/>
              </w:rPr>
            </w:pPr>
            <w:r w:rsidRPr="00B6200C">
              <w:rPr>
                <w:rFonts w:ascii="Aptos Narrow" w:hAnsi="Aptos Narrow"/>
                <w:color w:val="000000"/>
                <w:sz w:val="22"/>
                <w:szCs w:val="22"/>
              </w:rPr>
              <w:t>53.70934</w:t>
            </w:r>
          </w:p>
        </w:tc>
        <w:tc>
          <w:tcPr>
            <w:tcW w:w="1891" w:type="dxa"/>
            <w:vAlign w:val="center"/>
          </w:tcPr>
          <w:p w14:paraId="7CE929A2" w14:textId="48F8A832" w:rsidR="00B6200C" w:rsidRPr="00B6200C" w:rsidRDefault="00B6200C" w:rsidP="00E5529C">
            <w:pPr>
              <w:jc w:val="center"/>
              <w:cnfStyle w:val="000000000000" w:firstRow="0" w:lastRow="0" w:firstColumn="0" w:lastColumn="0" w:oddVBand="0" w:evenVBand="0" w:oddHBand="0" w:evenHBand="0" w:firstRowFirstColumn="0" w:firstRowLastColumn="0" w:lastRowFirstColumn="0" w:lastRowLastColumn="0"/>
              <w:rPr>
                <w:rFonts w:ascii="Aptos Narrow" w:hAnsi="Aptos Narrow"/>
                <w:sz w:val="22"/>
                <w:szCs w:val="22"/>
              </w:rPr>
            </w:pPr>
            <w:r w:rsidRPr="00B6200C">
              <w:rPr>
                <w:rFonts w:ascii="Aptos Narrow" w:hAnsi="Aptos Narrow"/>
                <w:color w:val="000000"/>
                <w:sz w:val="22"/>
                <w:szCs w:val="22"/>
              </w:rPr>
              <w:t>-2.93272</w:t>
            </w:r>
          </w:p>
        </w:tc>
      </w:tr>
      <w:tr w:rsidR="00424A56" w:rsidRPr="00B6200C" w14:paraId="13A68C49" w14:textId="7800839C" w:rsidTr="00E5529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1" w:type="dxa"/>
            <w:tcBorders>
              <w:top w:val="none" w:sz="0" w:space="0" w:color="auto"/>
              <w:bottom w:val="none" w:sz="0" w:space="0" w:color="auto"/>
            </w:tcBorders>
            <w:vAlign w:val="center"/>
          </w:tcPr>
          <w:p w14:paraId="1EC8AEAA" w14:textId="77777777" w:rsidR="00424A56" w:rsidRPr="00B6200C" w:rsidRDefault="00424A56" w:rsidP="00E5529C">
            <w:pPr>
              <w:jc w:val="center"/>
              <w:rPr>
                <w:rFonts w:ascii="Aptos Narrow" w:hAnsi="Aptos Narrow"/>
                <w:sz w:val="22"/>
                <w:szCs w:val="22"/>
              </w:rPr>
            </w:pPr>
            <w:r w:rsidRPr="00B6200C">
              <w:rPr>
                <w:rFonts w:ascii="Aptos Narrow" w:hAnsi="Aptos Narrow"/>
                <w:sz w:val="22"/>
                <w:szCs w:val="22"/>
              </w:rPr>
              <w:t>Humber</w:t>
            </w:r>
          </w:p>
        </w:tc>
        <w:tc>
          <w:tcPr>
            <w:tcW w:w="1418" w:type="dxa"/>
            <w:tcBorders>
              <w:top w:val="none" w:sz="0" w:space="0" w:color="auto"/>
              <w:bottom w:val="none" w:sz="0" w:space="0" w:color="auto"/>
            </w:tcBorders>
            <w:vAlign w:val="center"/>
          </w:tcPr>
          <w:p w14:paraId="13E16675" w14:textId="77777777" w:rsidR="00424A56" w:rsidRPr="00B6200C" w:rsidRDefault="00424A56" w:rsidP="00E5529C">
            <w:pPr>
              <w:jc w:val="center"/>
              <w:cnfStyle w:val="000000100000" w:firstRow="0" w:lastRow="0" w:firstColumn="0" w:lastColumn="0" w:oddVBand="0" w:evenVBand="0" w:oddHBand="1" w:evenHBand="0" w:firstRowFirstColumn="0" w:firstRowLastColumn="0" w:lastRowFirstColumn="0" w:lastRowLastColumn="0"/>
              <w:rPr>
                <w:rFonts w:ascii="Aptos Narrow" w:hAnsi="Aptos Narrow"/>
                <w:sz w:val="22"/>
                <w:szCs w:val="22"/>
              </w:rPr>
            </w:pPr>
            <w:r w:rsidRPr="00B6200C">
              <w:rPr>
                <w:rFonts w:ascii="Aptos Narrow" w:hAnsi="Aptos Narrow"/>
                <w:sz w:val="22"/>
                <w:szCs w:val="22"/>
              </w:rPr>
              <w:t>Paull</w:t>
            </w:r>
          </w:p>
        </w:tc>
        <w:tc>
          <w:tcPr>
            <w:tcW w:w="1947" w:type="dxa"/>
            <w:tcBorders>
              <w:top w:val="none" w:sz="0" w:space="0" w:color="auto"/>
              <w:bottom w:val="none" w:sz="0" w:space="0" w:color="auto"/>
            </w:tcBorders>
            <w:vAlign w:val="center"/>
          </w:tcPr>
          <w:p w14:paraId="492460E8" w14:textId="77777777" w:rsidR="00424A56" w:rsidRPr="00B6200C" w:rsidRDefault="00424A56" w:rsidP="00E5529C">
            <w:pPr>
              <w:jc w:val="center"/>
              <w:cnfStyle w:val="000000100000" w:firstRow="0" w:lastRow="0" w:firstColumn="0" w:lastColumn="0" w:oddVBand="0" w:evenVBand="0" w:oddHBand="1" w:evenHBand="0" w:firstRowFirstColumn="0" w:firstRowLastColumn="0" w:lastRowFirstColumn="0" w:lastRowLastColumn="0"/>
              <w:rPr>
                <w:rFonts w:ascii="Aptos Narrow" w:hAnsi="Aptos Narrow"/>
                <w:sz w:val="22"/>
                <w:szCs w:val="22"/>
              </w:rPr>
            </w:pPr>
            <w:r w:rsidRPr="00B6200C">
              <w:rPr>
                <w:rFonts w:ascii="Aptos Narrow" w:hAnsi="Aptos Narrow"/>
                <w:sz w:val="22"/>
                <w:szCs w:val="22"/>
              </w:rPr>
              <w:t>30</w:t>
            </w:r>
            <w:r w:rsidRPr="00B6200C">
              <w:rPr>
                <w:rFonts w:ascii="Aptos Narrow" w:hAnsi="Aptos Narrow"/>
                <w:sz w:val="22"/>
                <w:szCs w:val="22"/>
                <w:vertAlign w:val="superscript"/>
              </w:rPr>
              <w:t>th</w:t>
            </w:r>
            <w:r w:rsidRPr="00B6200C">
              <w:rPr>
                <w:rFonts w:ascii="Aptos Narrow" w:hAnsi="Aptos Narrow"/>
                <w:sz w:val="22"/>
                <w:szCs w:val="22"/>
              </w:rPr>
              <w:t xml:space="preserve"> and 31</w:t>
            </w:r>
            <w:r w:rsidRPr="00B6200C">
              <w:rPr>
                <w:rFonts w:ascii="Aptos Narrow" w:hAnsi="Aptos Narrow"/>
                <w:sz w:val="22"/>
                <w:szCs w:val="22"/>
                <w:vertAlign w:val="superscript"/>
              </w:rPr>
              <w:t>st</w:t>
            </w:r>
            <w:r w:rsidRPr="00B6200C">
              <w:rPr>
                <w:rFonts w:ascii="Aptos Narrow" w:hAnsi="Aptos Narrow"/>
                <w:sz w:val="22"/>
                <w:szCs w:val="22"/>
              </w:rPr>
              <w:t xml:space="preserve"> October 2024</w:t>
            </w:r>
          </w:p>
        </w:tc>
        <w:tc>
          <w:tcPr>
            <w:tcW w:w="1685" w:type="dxa"/>
            <w:tcBorders>
              <w:top w:val="none" w:sz="0" w:space="0" w:color="auto"/>
              <w:bottom w:val="none" w:sz="0" w:space="0" w:color="auto"/>
            </w:tcBorders>
            <w:vAlign w:val="center"/>
          </w:tcPr>
          <w:p w14:paraId="6649B1CC" w14:textId="2D186BBA" w:rsidR="00424A56" w:rsidRPr="00B6200C" w:rsidRDefault="00424A56" w:rsidP="00E5529C">
            <w:pPr>
              <w:jc w:val="center"/>
              <w:cnfStyle w:val="000000100000" w:firstRow="0" w:lastRow="0" w:firstColumn="0" w:lastColumn="0" w:oddVBand="0" w:evenVBand="0" w:oddHBand="1" w:evenHBand="0" w:firstRowFirstColumn="0" w:firstRowLastColumn="0" w:lastRowFirstColumn="0" w:lastRowLastColumn="0"/>
              <w:rPr>
                <w:rFonts w:ascii="Aptos Narrow" w:hAnsi="Aptos Narrow"/>
                <w:sz w:val="22"/>
                <w:szCs w:val="22"/>
              </w:rPr>
            </w:pPr>
            <w:r w:rsidRPr="00B6200C">
              <w:rPr>
                <w:rFonts w:ascii="Aptos Narrow" w:hAnsi="Aptos Narrow"/>
                <w:color w:val="000000"/>
                <w:sz w:val="22"/>
                <w:szCs w:val="22"/>
              </w:rPr>
              <w:t>53.70747</w:t>
            </w:r>
          </w:p>
        </w:tc>
        <w:tc>
          <w:tcPr>
            <w:tcW w:w="1891" w:type="dxa"/>
            <w:tcBorders>
              <w:top w:val="none" w:sz="0" w:space="0" w:color="auto"/>
              <w:bottom w:val="none" w:sz="0" w:space="0" w:color="auto"/>
            </w:tcBorders>
            <w:vAlign w:val="center"/>
          </w:tcPr>
          <w:p w14:paraId="46C5FD1E" w14:textId="1CE99989" w:rsidR="00424A56" w:rsidRPr="00B6200C" w:rsidRDefault="00424A56" w:rsidP="00E5529C">
            <w:pPr>
              <w:jc w:val="center"/>
              <w:cnfStyle w:val="000000100000" w:firstRow="0" w:lastRow="0" w:firstColumn="0" w:lastColumn="0" w:oddVBand="0" w:evenVBand="0" w:oddHBand="1" w:evenHBand="0" w:firstRowFirstColumn="0" w:firstRowLastColumn="0" w:lastRowFirstColumn="0" w:lastRowLastColumn="0"/>
              <w:rPr>
                <w:rFonts w:ascii="Aptos Narrow" w:hAnsi="Aptos Narrow"/>
                <w:sz w:val="22"/>
                <w:szCs w:val="22"/>
              </w:rPr>
            </w:pPr>
            <w:r w:rsidRPr="00B6200C">
              <w:rPr>
                <w:rFonts w:ascii="Aptos Narrow" w:hAnsi="Aptos Narrow"/>
                <w:color w:val="000000"/>
                <w:sz w:val="22"/>
                <w:szCs w:val="22"/>
              </w:rPr>
              <w:t>-0.21527</w:t>
            </w:r>
          </w:p>
        </w:tc>
      </w:tr>
      <w:tr w:rsidR="00424A56" w:rsidRPr="00B6200C" w14:paraId="48247F7D" w14:textId="04766B10" w:rsidTr="00E5529C">
        <w:tc>
          <w:tcPr>
            <w:cnfStyle w:val="001000000000" w:firstRow="0" w:lastRow="0" w:firstColumn="1" w:lastColumn="0" w:oddVBand="0" w:evenVBand="0" w:oddHBand="0" w:evenHBand="0" w:firstRowFirstColumn="0" w:firstRowLastColumn="0" w:lastRowFirstColumn="0" w:lastRowLastColumn="0"/>
            <w:tcW w:w="1701" w:type="dxa"/>
            <w:vAlign w:val="center"/>
          </w:tcPr>
          <w:p w14:paraId="7760847D" w14:textId="77777777" w:rsidR="00424A56" w:rsidRPr="00B6200C" w:rsidRDefault="00424A56" w:rsidP="00E5529C">
            <w:pPr>
              <w:jc w:val="center"/>
              <w:rPr>
                <w:rFonts w:ascii="Aptos Narrow" w:hAnsi="Aptos Narrow"/>
                <w:sz w:val="22"/>
                <w:szCs w:val="22"/>
              </w:rPr>
            </w:pPr>
            <w:r w:rsidRPr="00B6200C">
              <w:rPr>
                <w:rFonts w:ascii="Aptos Narrow" w:hAnsi="Aptos Narrow"/>
                <w:sz w:val="22"/>
                <w:szCs w:val="22"/>
              </w:rPr>
              <w:t>Humber</w:t>
            </w:r>
          </w:p>
        </w:tc>
        <w:tc>
          <w:tcPr>
            <w:tcW w:w="1418" w:type="dxa"/>
            <w:vAlign w:val="center"/>
          </w:tcPr>
          <w:p w14:paraId="4CC7A38C" w14:textId="77777777" w:rsidR="00424A56" w:rsidRPr="00B6200C" w:rsidRDefault="00424A56" w:rsidP="00E5529C">
            <w:pPr>
              <w:jc w:val="center"/>
              <w:cnfStyle w:val="000000000000" w:firstRow="0" w:lastRow="0" w:firstColumn="0" w:lastColumn="0" w:oddVBand="0" w:evenVBand="0" w:oddHBand="0" w:evenHBand="0" w:firstRowFirstColumn="0" w:firstRowLastColumn="0" w:lastRowFirstColumn="0" w:lastRowLastColumn="0"/>
              <w:rPr>
                <w:rFonts w:ascii="Aptos Narrow" w:hAnsi="Aptos Narrow"/>
                <w:sz w:val="22"/>
                <w:szCs w:val="22"/>
              </w:rPr>
            </w:pPr>
            <w:proofErr w:type="spellStart"/>
            <w:r w:rsidRPr="00B6200C">
              <w:rPr>
                <w:rFonts w:ascii="Aptos Narrow" w:hAnsi="Aptos Narrow"/>
                <w:sz w:val="22"/>
                <w:szCs w:val="22"/>
              </w:rPr>
              <w:t>Welwick</w:t>
            </w:r>
            <w:proofErr w:type="spellEnd"/>
          </w:p>
        </w:tc>
        <w:tc>
          <w:tcPr>
            <w:tcW w:w="1947" w:type="dxa"/>
            <w:vAlign w:val="center"/>
          </w:tcPr>
          <w:p w14:paraId="21DA20AE" w14:textId="77777777" w:rsidR="00424A56" w:rsidRPr="00B6200C" w:rsidRDefault="00424A56" w:rsidP="00E5529C">
            <w:pPr>
              <w:jc w:val="center"/>
              <w:cnfStyle w:val="000000000000" w:firstRow="0" w:lastRow="0" w:firstColumn="0" w:lastColumn="0" w:oddVBand="0" w:evenVBand="0" w:oddHBand="0" w:evenHBand="0" w:firstRowFirstColumn="0" w:firstRowLastColumn="0" w:lastRowFirstColumn="0" w:lastRowLastColumn="0"/>
              <w:rPr>
                <w:rFonts w:ascii="Aptos Narrow" w:hAnsi="Aptos Narrow"/>
                <w:sz w:val="22"/>
                <w:szCs w:val="22"/>
              </w:rPr>
            </w:pPr>
            <w:r w:rsidRPr="00B6200C">
              <w:rPr>
                <w:rFonts w:ascii="Aptos Narrow" w:hAnsi="Aptos Narrow"/>
                <w:sz w:val="22"/>
                <w:szCs w:val="22"/>
              </w:rPr>
              <w:t>29</w:t>
            </w:r>
            <w:r w:rsidRPr="00B6200C">
              <w:rPr>
                <w:rFonts w:ascii="Aptos Narrow" w:hAnsi="Aptos Narrow"/>
                <w:sz w:val="22"/>
                <w:szCs w:val="22"/>
                <w:vertAlign w:val="superscript"/>
              </w:rPr>
              <w:t>th</w:t>
            </w:r>
            <w:r w:rsidRPr="00B6200C">
              <w:rPr>
                <w:rFonts w:ascii="Aptos Narrow" w:hAnsi="Aptos Narrow"/>
                <w:sz w:val="22"/>
                <w:szCs w:val="22"/>
              </w:rPr>
              <w:t xml:space="preserve"> and 30</w:t>
            </w:r>
            <w:r w:rsidRPr="00B6200C">
              <w:rPr>
                <w:rFonts w:ascii="Aptos Narrow" w:hAnsi="Aptos Narrow"/>
                <w:sz w:val="22"/>
                <w:szCs w:val="22"/>
                <w:vertAlign w:val="superscript"/>
              </w:rPr>
              <w:t>th</w:t>
            </w:r>
            <w:r w:rsidRPr="00B6200C">
              <w:rPr>
                <w:rFonts w:ascii="Aptos Narrow" w:hAnsi="Aptos Narrow"/>
                <w:sz w:val="22"/>
                <w:szCs w:val="22"/>
              </w:rPr>
              <w:t xml:space="preserve"> October 2024</w:t>
            </w:r>
          </w:p>
        </w:tc>
        <w:tc>
          <w:tcPr>
            <w:tcW w:w="1685" w:type="dxa"/>
            <w:vAlign w:val="center"/>
          </w:tcPr>
          <w:p w14:paraId="76731816" w14:textId="7454153F" w:rsidR="00424A56" w:rsidRPr="00B6200C" w:rsidRDefault="00424A56" w:rsidP="00E5529C">
            <w:pPr>
              <w:jc w:val="center"/>
              <w:cnfStyle w:val="000000000000" w:firstRow="0" w:lastRow="0" w:firstColumn="0" w:lastColumn="0" w:oddVBand="0" w:evenVBand="0" w:oddHBand="0" w:evenHBand="0" w:firstRowFirstColumn="0" w:firstRowLastColumn="0" w:lastRowFirstColumn="0" w:lastRowLastColumn="0"/>
              <w:rPr>
                <w:rFonts w:ascii="Aptos Narrow" w:hAnsi="Aptos Narrow"/>
                <w:sz w:val="22"/>
                <w:szCs w:val="22"/>
              </w:rPr>
            </w:pPr>
            <w:r w:rsidRPr="00B6200C">
              <w:rPr>
                <w:rFonts w:ascii="Aptos Narrow" w:hAnsi="Aptos Narrow"/>
                <w:color w:val="000000"/>
                <w:sz w:val="22"/>
                <w:szCs w:val="22"/>
              </w:rPr>
              <w:t>53.64823</w:t>
            </w:r>
          </w:p>
        </w:tc>
        <w:tc>
          <w:tcPr>
            <w:tcW w:w="1891" w:type="dxa"/>
            <w:vAlign w:val="center"/>
          </w:tcPr>
          <w:p w14:paraId="4DF6009B" w14:textId="58C01143" w:rsidR="00424A56" w:rsidRPr="00B6200C" w:rsidRDefault="00424A56" w:rsidP="00E5529C">
            <w:pPr>
              <w:jc w:val="center"/>
              <w:cnfStyle w:val="000000000000" w:firstRow="0" w:lastRow="0" w:firstColumn="0" w:lastColumn="0" w:oddVBand="0" w:evenVBand="0" w:oddHBand="0" w:evenHBand="0" w:firstRowFirstColumn="0" w:firstRowLastColumn="0" w:lastRowFirstColumn="0" w:lastRowLastColumn="0"/>
              <w:rPr>
                <w:rFonts w:ascii="Aptos Narrow" w:hAnsi="Aptos Narrow"/>
                <w:sz w:val="22"/>
                <w:szCs w:val="22"/>
              </w:rPr>
            </w:pPr>
            <w:r w:rsidRPr="00B6200C">
              <w:rPr>
                <w:rFonts w:ascii="Aptos Narrow" w:hAnsi="Aptos Narrow"/>
                <w:color w:val="000000"/>
                <w:sz w:val="22"/>
                <w:szCs w:val="22"/>
              </w:rPr>
              <w:t>0.022475</w:t>
            </w:r>
          </w:p>
        </w:tc>
      </w:tr>
      <w:tr w:rsidR="000B55AC" w:rsidRPr="00B6200C" w14:paraId="6B536B98" w14:textId="1109AB8E" w:rsidTr="00E5529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1" w:type="dxa"/>
            <w:tcBorders>
              <w:top w:val="none" w:sz="0" w:space="0" w:color="auto"/>
              <w:bottom w:val="none" w:sz="0" w:space="0" w:color="auto"/>
            </w:tcBorders>
            <w:vAlign w:val="center"/>
          </w:tcPr>
          <w:p w14:paraId="3B3BB4CE" w14:textId="77777777" w:rsidR="000B55AC" w:rsidRPr="00B6200C" w:rsidRDefault="000B55AC" w:rsidP="00E5529C">
            <w:pPr>
              <w:jc w:val="center"/>
              <w:rPr>
                <w:rFonts w:ascii="Aptos Narrow" w:hAnsi="Aptos Narrow"/>
                <w:sz w:val="22"/>
                <w:szCs w:val="22"/>
              </w:rPr>
            </w:pPr>
            <w:r w:rsidRPr="00B6200C">
              <w:rPr>
                <w:rFonts w:ascii="Aptos Narrow" w:hAnsi="Aptos Narrow"/>
                <w:sz w:val="22"/>
                <w:szCs w:val="22"/>
              </w:rPr>
              <w:t>Blackwater</w:t>
            </w:r>
          </w:p>
        </w:tc>
        <w:tc>
          <w:tcPr>
            <w:tcW w:w="1418" w:type="dxa"/>
            <w:tcBorders>
              <w:top w:val="none" w:sz="0" w:space="0" w:color="auto"/>
              <w:bottom w:val="none" w:sz="0" w:space="0" w:color="auto"/>
            </w:tcBorders>
            <w:vAlign w:val="center"/>
          </w:tcPr>
          <w:p w14:paraId="7C9406DE" w14:textId="77777777" w:rsidR="000B55AC" w:rsidRPr="00B6200C" w:rsidRDefault="000B55AC" w:rsidP="00E5529C">
            <w:pPr>
              <w:jc w:val="center"/>
              <w:cnfStyle w:val="000000100000" w:firstRow="0" w:lastRow="0" w:firstColumn="0" w:lastColumn="0" w:oddVBand="0" w:evenVBand="0" w:oddHBand="1" w:evenHBand="0" w:firstRowFirstColumn="0" w:firstRowLastColumn="0" w:lastRowFirstColumn="0" w:lastRowLastColumn="0"/>
              <w:rPr>
                <w:rFonts w:ascii="Aptos Narrow" w:hAnsi="Aptos Narrow"/>
                <w:sz w:val="22"/>
                <w:szCs w:val="22"/>
              </w:rPr>
            </w:pPr>
            <w:r w:rsidRPr="00B6200C">
              <w:rPr>
                <w:rFonts w:ascii="Aptos Narrow" w:hAnsi="Aptos Narrow"/>
                <w:sz w:val="22"/>
                <w:szCs w:val="22"/>
              </w:rPr>
              <w:t>Old Hall</w:t>
            </w:r>
          </w:p>
        </w:tc>
        <w:tc>
          <w:tcPr>
            <w:tcW w:w="1947" w:type="dxa"/>
            <w:tcBorders>
              <w:top w:val="none" w:sz="0" w:space="0" w:color="auto"/>
              <w:bottom w:val="none" w:sz="0" w:space="0" w:color="auto"/>
            </w:tcBorders>
            <w:vAlign w:val="center"/>
          </w:tcPr>
          <w:p w14:paraId="55D87027" w14:textId="77777777" w:rsidR="000B55AC" w:rsidRPr="00B6200C" w:rsidRDefault="000B55AC" w:rsidP="00E5529C">
            <w:pPr>
              <w:jc w:val="center"/>
              <w:cnfStyle w:val="000000100000" w:firstRow="0" w:lastRow="0" w:firstColumn="0" w:lastColumn="0" w:oddVBand="0" w:evenVBand="0" w:oddHBand="1" w:evenHBand="0" w:firstRowFirstColumn="0" w:firstRowLastColumn="0" w:lastRowFirstColumn="0" w:lastRowLastColumn="0"/>
              <w:rPr>
                <w:rFonts w:ascii="Aptos Narrow" w:hAnsi="Aptos Narrow"/>
                <w:sz w:val="22"/>
                <w:szCs w:val="22"/>
              </w:rPr>
            </w:pPr>
            <w:r w:rsidRPr="00B6200C">
              <w:rPr>
                <w:rFonts w:ascii="Aptos Narrow" w:hAnsi="Aptos Narrow"/>
                <w:sz w:val="22"/>
                <w:szCs w:val="22"/>
              </w:rPr>
              <w:t>3</w:t>
            </w:r>
            <w:r w:rsidRPr="00B6200C">
              <w:rPr>
                <w:rFonts w:ascii="Aptos Narrow" w:hAnsi="Aptos Narrow"/>
                <w:sz w:val="22"/>
                <w:szCs w:val="22"/>
                <w:vertAlign w:val="superscript"/>
              </w:rPr>
              <w:t>rd</w:t>
            </w:r>
            <w:r w:rsidRPr="00B6200C">
              <w:rPr>
                <w:rFonts w:ascii="Aptos Narrow" w:hAnsi="Aptos Narrow"/>
                <w:sz w:val="22"/>
                <w:szCs w:val="22"/>
              </w:rPr>
              <w:t>, 4</w:t>
            </w:r>
            <w:r w:rsidRPr="00B6200C">
              <w:rPr>
                <w:rFonts w:ascii="Aptos Narrow" w:hAnsi="Aptos Narrow"/>
                <w:sz w:val="22"/>
                <w:szCs w:val="22"/>
                <w:vertAlign w:val="superscript"/>
              </w:rPr>
              <w:t>th</w:t>
            </w:r>
            <w:r w:rsidRPr="00B6200C">
              <w:rPr>
                <w:rFonts w:ascii="Aptos Narrow" w:hAnsi="Aptos Narrow"/>
                <w:sz w:val="22"/>
                <w:szCs w:val="22"/>
              </w:rPr>
              <w:t xml:space="preserve"> and 5</w:t>
            </w:r>
            <w:r w:rsidRPr="00B6200C">
              <w:rPr>
                <w:rFonts w:ascii="Aptos Narrow" w:hAnsi="Aptos Narrow"/>
                <w:sz w:val="22"/>
                <w:szCs w:val="22"/>
                <w:vertAlign w:val="superscript"/>
              </w:rPr>
              <w:t>th</w:t>
            </w:r>
            <w:r w:rsidRPr="00B6200C">
              <w:rPr>
                <w:rFonts w:ascii="Aptos Narrow" w:hAnsi="Aptos Narrow"/>
                <w:sz w:val="22"/>
                <w:szCs w:val="22"/>
              </w:rPr>
              <w:t xml:space="preserve"> September 2024</w:t>
            </w:r>
          </w:p>
        </w:tc>
        <w:tc>
          <w:tcPr>
            <w:tcW w:w="1685" w:type="dxa"/>
            <w:tcBorders>
              <w:top w:val="none" w:sz="0" w:space="0" w:color="auto"/>
              <w:bottom w:val="none" w:sz="0" w:space="0" w:color="auto"/>
            </w:tcBorders>
            <w:vAlign w:val="center"/>
          </w:tcPr>
          <w:p w14:paraId="50472528" w14:textId="4B282AFC" w:rsidR="000B55AC" w:rsidRPr="00B6200C" w:rsidRDefault="000B55AC" w:rsidP="00E5529C">
            <w:pPr>
              <w:jc w:val="center"/>
              <w:cnfStyle w:val="000000100000" w:firstRow="0" w:lastRow="0" w:firstColumn="0" w:lastColumn="0" w:oddVBand="0" w:evenVBand="0" w:oddHBand="1" w:evenHBand="0" w:firstRowFirstColumn="0" w:firstRowLastColumn="0" w:lastRowFirstColumn="0" w:lastRowLastColumn="0"/>
              <w:rPr>
                <w:rFonts w:ascii="Aptos Narrow" w:hAnsi="Aptos Narrow"/>
                <w:sz w:val="22"/>
                <w:szCs w:val="22"/>
              </w:rPr>
            </w:pPr>
            <w:r w:rsidRPr="00B6200C">
              <w:rPr>
                <w:rFonts w:ascii="Aptos Narrow" w:hAnsi="Aptos Narrow"/>
                <w:color w:val="000000"/>
                <w:sz w:val="22"/>
                <w:szCs w:val="22"/>
              </w:rPr>
              <w:t>51.77327</w:t>
            </w:r>
          </w:p>
        </w:tc>
        <w:tc>
          <w:tcPr>
            <w:tcW w:w="1891" w:type="dxa"/>
            <w:tcBorders>
              <w:top w:val="none" w:sz="0" w:space="0" w:color="auto"/>
              <w:bottom w:val="none" w:sz="0" w:space="0" w:color="auto"/>
            </w:tcBorders>
            <w:vAlign w:val="center"/>
          </w:tcPr>
          <w:p w14:paraId="3B072B12" w14:textId="5F05D2F2" w:rsidR="000B55AC" w:rsidRPr="00B6200C" w:rsidRDefault="000B55AC" w:rsidP="00E5529C">
            <w:pPr>
              <w:jc w:val="center"/>
              <w:cnfStyle w:val="000000100000" w:firstRow="0" w:lastRow="0" w:firstColumn="0" w:lastColumn="0" w:oddVBand="0" w:evenVBand="0" w:oddHBand="1" w:evenHBand="0" w:firstRowFirstColumn="0" w:firstRowLastColumn="0" w:lastRowFirstColumn="0" w:lastRowLastColumn="0"/>
              <w:rPr>
                <w:rFonts w:ascii="Aptos Narrow" w:hAnsi="Aptos Narrow"/>
                <w:sz w:val="22"/>
                <w:szCs w:val="22"/>
              </w:rPr>
            </w:pPr>
            <w:r w:rsidRPr="00B6200C">
              <w:rPr>
                <w:rFonts w:ascii="Aptos Narrow" w:hAnsi="Aptos Narrow"/>
                <w:color w:val="000000"/>
                <w:sz w:val="22"/>
                <w:szCs w:val="22"/>
              </w:rPr>
              <w:t>0.841164</w:t>
            </w:r>
          </w:p>
        </w:tc>
      </w:tr>
      <w:tr w:rsidR="000B55AC" w:rsidRPr="00B6200C" w14:paraId="6A118349" w14:textId="31885BF1" w:rsidTr="00E5529C">
        <w:tc>
          <w:tcPr>
            <w:cnfStyle w:val="001000000000" w:firstRow="0" w:lastRow="0" w:firstColumn="1" w:lastColumn="0" w:oddVBand="0" w:evenVBand="0" w:oddHBand="0" w:evenHBand="0" w:firstRowFirstColumn="0" w:firstRowLastColumn="0" w:lastRowFirstColumn="0" w:lastRowLastColumn="0"/>
            <w:tcW w:w="1701" w:type="dxa"/>
            <w:vAlign w:val="center"/>
          </w:tcPr>
          <w:p w14:paraId="7A53A7D7" w14:textId="77777777" w:rsidR="000B55AC" w:rsidRPr="00B6200C" w:rsidRDefault="000B55AC" w:rsidP="00E5529C">
            <w:pPr>
              <w:jc w:val="center"/>
              <w:rPr>
                <w:rFonts w:ascii="Aptos Narrow" w:hAnsi="Aptos Narrow"/>
                <w:sz w:val="22"/>
                <w:szCs w:val="22"/>
              </w:rPr>
            </w:pPr>
            <w:r w:rsidRPr="00B6200C">
              <w:rPr>
                <w:rFonts w:ascii="Aptos Narrow" w:hAnsi="Aptos Narrow"/>
                <w:sz w:val="22"/>
                <w:szCs w:val="22"/>
              </w:rPr>
              <w:t>Blackwater</w:t>
            </w:r>
          </w:p>
        </w:tc>
        <w:tc>
          <w:tcPr>
            <w:tcW w:w="1418" w:type="dxa"/>
            <w:vAlign w:val="center"/>
          </w:tcPr>
          <w:p w14:paraId="765AEC99" w14:textId="77777777" w:rsidR="000B55AC" w:rsidRPr="00B6200C" w:rsidRDefault="000B55AC" w:rsidP="00E5529C">
            <w:pPr>
              <w:jc w:val="center"/>
              <w:cnfStyle w:val="000000000000" w:firstRow="0" w:lastRow="0" w:firstColumn="0" w:lastColumn="0" w:oddVBand="0" w:evenVBand="0" w:oddHBand="0" w:evenHBand="0" w:firstRowFirstColumn="0" w:firstRowLastColumn="0" w:lastRowFirstColumn="0" w:lastRowLastColumn="0"/>
              <w:rPr>
                <w:rFonts w:ascii="Aptos Narrow" w:hAnsi="Aptos Narrow"/>
                <w:sz w:val="22"/>
                <w:szCs w:val="22"/>
              </w:rPr>
            </w:pPr>
            <w:r w:rsidRPr="00B6200C">
              <w:rPr>
                <w:rFonts w:ascii="Aptos Narrow" w:hAnsi="Aptos Narrow"/>
                <w:sz w:val="22"/>
                <w:szCs w:val="22"/>
              </w:rPr>
              <w:t>Northey Island</w:t>
            </w:r>
          </w:p>
        </w:tc>
        <w:tc>
          <w:tcPr>
            <w:tcW w:w="1947" w:type="dxa"/>
            <w:vAlign w:val="center"/>
          </w:tcPr>
          <w:p w14:paraId="19338F6A" w14:textId="77777777" w:rsidR="000B55AC" w:rsidRPr="00B6200C" w:rsidRDefault="000B55AC" w:rsidP="00E5529C">
            <w:pPr>
              <w:jc w:val="center"/>
              <w:cnfStyle w:val="000000000000" w:firstRow="0" w:lastRow="0" w:firstColumn="0" w:lastColumn="0" w:oddVBand="0" w:evenVBand="0" w:oddHBand="0" w:evenHBand="0" w:firstRowFirstColumn="0" w:firstRowLastColumn="0" w:lastRowFirstColumn="0" w:lastRowLastColumn="0"/>
              <w:rPr>
                <w:rFonts w:ascii="Aptos Narrow" w:hAnsi="Aptos Narrow"/>
                <w:sz w:val="22"/>
                <w:szCs w:val="22"/>
              </w:rPr>
            </w:pPr>
            <w:r w:rsidRPr="00B6200C">
              <w:rPr>
                <w:rFonts w:ascii="Aptos Narrow" w:hAnsi="Aptos Narrow"/>
                <w:sz w:val="22"/>
                <w:szCs w:val="22"/>
              </w:rPr>
              <w:t>3</w:t>
            </w:r>
            <w:r w:rsidRPr="00B6200C">
              <w:rPr>
                <w:rFonts w:ascii="Aptos Narrow" w:hAnsi="Aptos Narrow"/>
                <w:sz w:val="22"/>
                <w:szCs w:val="22"/>
                <w:vertAlign w:val="superscript"/>
              </w:rPr>
              <w:t>rd</w:t>
            </w:r>
            <w:r w:rsidRPr="00B6200C">
              <w:rPr>
                <w:rFonts w:ascii="Aptos Narrow" w:hAnsi="Aptos Narrow"/>
                <w:sz w:val="22"/>
                <w:szCs w:val="22"/>
              </w:rPr>
              <w:t xml:space="preserve"> and 4</w:t>
            </w:r>
            <w:r w:rsidRPr="00B6200C">
              <w:rPr>
                <w:rFonts w:ascii="Aptos Narrow" w:hAnsi="Aptos Narrow"/>
                <w:sz w:val="22"/>
                <w:szCs w:val="22"/>
                <w:vertAlign w:val="superscript"/>
              </w:rPr>
              <w:t>th</w:t>
            </w:r>
            <w:r w:rsidRPr="00B6200C">
              <w:rPr>
                <w:rFonts w:ascii="Aptos Narrow" w:hAnsi="Aptos Narrow"/>
                <w:sz w:val="22"/>
                <w:szCs w:val="22"/>
              </w:rPr>
              <w:t xml:space="preserve"> September 2024</w:t>
            </w:r>
          </w:p>
        </w:tc>
        <w:tc>
          <w:tcPr>
            <w:tcW w:w="1685" w:type="dxa"/>
            <w:vAlign w:val="center"/>
          </w:tcPr>
          <w:p w14:paraId="2F3C69D0" w14:textId="050034FC" w:rsidR="000B55AC" w:rsidRPr="00B6200C" w:rsidRDefault="000B55AC" w:rsidP="00E5529C">
            <w:pPr>
              <w:jc w:val="center"/>
              <w:cnfStyle w:val="000000000000" w:firstRow="0" w:lastRow="0" w:firstColumn="0" w:lastColumn="0" w:oddVBand="0" w:evenVBand="0" w:oddHBand="0" w:evenHBand="0" w:firstRowFirstColumn="0" w:firstRowLastColumn="0" w:lastRowFirstColumn="0" w:lastRowLastColumn="0"/>
              <w:rPr>
                <w:rFonts w:ascii="Aptos Narrow" w:hAnsi="Aptos Narrow"/>
                <w:sz w:val="22"/>
                <w:szCs w:val="22"/>
              </w:rPr>
            </w:pPr>
            <w:r w:rsidRPr="00B6200C">
              <w:rPr>
                <w:rFonts w:ascii="Aptos Narrow" w:hAnsi="Aptos Narrow"/>
                <w:color w:val="000000"/>
                <w:sz w:val="22"/>
                <w:szCs w:val="22"/>
              </w:rPr>
              <w:t>51.7208</w:t>
            </w:r>
          </w:p>
        </w:tc>
        <w:tc>
          <w:tcPr>
            <w:tcW w:w="1891" w:type="dxa"/>
            <w:vAlign w:val="center"/>
          </w:tcPr>
          <w:p w14:paraId="573BFE99" w14:textId="73FD4C64" w:rsidR="000B55AC" w:rsidRPr="00B6200C" w:rsidRDefault="000B55AC" w:rsidP="00E5529C">
            <w:pPr>
              <w:jc w:val="center"/>
              <w:cnfStyle w:val="000000000000" w:firstRow="0" w:lastRow="0" w:firstColumn="0" w:lastColumn="0" w:oddVBand="0" w:evenVBand="0" w:oddHBand="0" w:evenHBand="0" w:firstRowFirstColumn="0" w:firstRowLastColumn="0" w:lastRowFirstColumn="0" w:lastRowLastColumn="0"/>
              <w:rPr>
                <w:rFonts w:ascii="Aptos Narrow" w:hAnsi="Aptos Narrow"/>
                <w:sz w:val="22"/>
                <w:szCs w:val="22"/>
              </w:rPr>
            </w:pPr>
            <w:r w:rsidRPr="00B6200C">
              <w:rPr>
                <w:rFonts w:ascii="Aptos Narrow" w:hAnsi="Aptos Narrow"/>
                <w:color w:val="000000"/>
                <w:sz w:val="22"/>
                <w:szCs w:val="22"/>
              </w:rPr>
              <w:t>0.701712</w:t>
            </w:r>
          </w:p>
        </w:tc>
      </w:tr>
      <w:tr w:rsidR="00424A56" w:rsidRPr="00B6200C" w14:paraId="0C829864" w14:textId="0CC2E678" w:rsidTr="00E5529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1" w:type="dxa"/>
            <w:tcBorders>
              <w:top w:val="none" w:sz="0" w:space="0" w:color="auto"/>
              <w:bottom w:val="none" w:sz="0" w:space="0" w:color="auto"/>
            </w:tcBorders>
            <w:vAlign w:val="center"/>
          </w:tcPr>
          <w:p w14:paraId="3CE6870C" w14:textId="77777777" w:rsidR="00424A56" w:rsidRPr="00B6200C" w:rsidRDefault="00424A56" w:rsidP="00E5529C">
            <w:pPr>
              <w:jc w:val="center"/>
              <w:rPr>
                <w:rFonts w:ascii="Aptos Narrow" w:hAnsi="Aptos Narrow"/>
                <w:sz w:val="22"/>
                <w:szCs w:val="22"/>
              </w:rPr>
            </w:pPr>
            <w:r w:rsidRPr="00B6200C">
              <w:rPr>
                <w:rFonts w:ascii="Aptos Narrow" w:hAnsi="Aptos Narrow"/>
                <w:sz w:val="22"/>
                <w:szCs w:val="22"/>
              </w:rPr>
              <w:t>Chichester</w:t>
            </w:r>
          </w:p>
        </w:tc>
        <w:tc>
          <w:tcPr>
            <w:tcW w:w="1418" w:type="dxa"/>
            <w:tcBorders>
              <w:top w:val="none" w:sz="0" w:space="0" w:color="auto"/>
              <w:bottom w:val="none" w:sz="0" w:space="0" w:color="auto"/>
            </w:tcBorders>
            <w:vAlign w:val="center"/>
          </w:tcPr>
          <w:p w14:paraId="72D7B70A" w14:textId="77777777" w:rsidR="00424A56" w:rsidRPr="00B6200C" w:rsidRDefault="00424A56" w:rsidP="00E5529C">
            <w:pPr>
              <w:jc w:val="center"/>
              <w:cnfStyle w:val="000000100000" w:firstRow="0" w:lastRow="0" w:firstColumn="0" w:lastColumn="0" w:oddVBand="0" w:evenVBand="0" w:oddHBand="1" w:evenHBand="0" w:firstRowFirstColumn="0" w:firstRowLastColumn="0" w:lastRowFirstColumn="0" w:lastRowLastColumn="0"/>
              <w:rPr>
                <w:rFonts w:ascii="Aptos Narrow" w:hAnsi="Aptos Narrow"/>
                <w:sz w:val="22"/>
                <w:szCs w:val="22"/>
              </w:rPr>
            </w:pPr>
            <w:r w:rsidRPr="00B6200C">
              <w:rPr>
                <w:rFonts w:ascii="Aptos Narrow" w:hAnsi="Aptos Narrow"/>
                <w:sz w:val="22"/>
                <w:szCs w:val="22"/>
              </w:rPr>
              <w:t>Gutner Point</w:t>
            </w:r>
          </w:p>
        </w:tc>
        <w:tc>
          <w:tcPr>
            <w:tcW w:w="1947" w:type="dxa"/>
            <w:tcBorders>
              <w:top w:val="none" w:sz="0" w:space="0" w:color="auto"/>
              <w:bottom w:val="none" w:sz="0" w:space="0" w:color="auto"/>
            </w:tcBorders>
            <w:vAlign w:val="center"/>
          </w:tcPr>
          <w:p w14:paraId="5895F91C" w14:textId="77777777" w:rsidR="00424A56" w:rsidRPr="00B6200C" w:rsidRDefault="00424A56" w:rsidP="00E5529C">
            <w:pPr>
              <w:jc w:val="center"/>
              <w:cnfStyle w:val="000000100000" w:firstRow="0" w:lastRow="0" w:firstColumn="0" w:lastColumn="0" w:oddVBand="0" w:evenVBand="0" w:oddHBand="1" w:evenHBand="0" w:firstRowFirstColumn="0" w:firstRowLastColumn="0" w:lastRowFirstColumn="0" w:lastRowLastColumn="0"/>
              <w:rPr>
                <w:rFonts w:ascii="Aptos Narrow" w:hAnsi="Aptos Narrow"/>
                <w:sz w:val="22"/>
                <w:szCs w:val="22"/>
              </w:rPr>
            </w:pPr>
            <w:r w:rsidRPr="00B6200C">
              <w:rPr>
                <w:rFonts w:ascii="Aptos Narrow" w:hAnsi="Aptos Narrow"/>
                <w:sz w:val="22"/>
                <w:szCs w:val="22"/>
              </w:rPr>
              <w:t>6</w:t>
            </w:r>
            <w:r w:rsidRPr="00B6200C">
              <w:rPr>
                <w:rFonts w:ascii="Aptos Narrow" w:hAnsi="Aptos Narrow"/>
                <w:sz w:val="22"/>
                <w:szCs w:val="22"/>
                <w:vertAlign w:val="superscript"/>
              </w:rPr>
              <w:t>th</w:t>
            </w:r>
            <w:r w:rsidRPr="00B6200C">
              <w:rPr>
                <w:rFonts w:ascii="Aptos Narrow" w:hAnsi="Aptos Narrow"/>
                <w:sz w:val="22"/>
                <w:szCs w:val="22"/>
              </w:rPr>
              <w:t xml:space="preserve"> and 7</w:t>
            </w:r>
            <w:r w:rsidRPr="00B6200C">
              <w:rPr>
                <w:rFonts w:ascii="Aptos Narrow" w:hAnsi="Aptos Narrow"/>
                <w:sz w:val="22"/>
                <w:szCs w:val="22"/>
                <w:vertAlign w:val="superscript"/>
              </w:rPr>
              <w:t>th</w:t>
            </w:r>
            <w:r w:rsidRPr="00B6200C">
              <w:rPr>
                <w:rFonts w:ascii="Aptos Narrow" w:hAnsi="Aptos Narrow"/>
                <w:sz w:val="22"/>
                <w:szCs w:val="22"/>
              </w:rPr>
              <w:t xml:space="preserve"> November 2024</w:t>
            </w:r>
          </w:p>
        </w:tc>
        <w:tc>
          <w:tcPr>
            <w:tcW w:w="1685" w:type="dxa"/>
            <w:tcBorders>
              <w:top w:val="none" w:sz="0" w:space="0" w:color="auto"/>
              <w:bottom w:val="none" w:sz="0" w:space="0" w:color="auto"/>
            </w:tcBorders>
            <w:vAlign w:val="center"/>
          </w:tcPr>
          <w:p w14:paraId="366EEB35" w14:textId="7013F397" w:rsidR="00424A56" w:rsidRPr="00B6200C" w:rsidRDefault="00424A56" w:rsidP="00E5529C">
            <w:pPr>
              <w:jc w:val="center"/>
              <w:cnfStyle w:val="000000100000" w:firstRow="0" w:lastRow="0" w:firstColumn="0" w:lastColumn="0" w:oddVBand="0" w:evenVBand="0" w:oddHBand="1" w:evenHBand="0" w:firstRowFirstColumn="0" w:firstRowLastColumn="0" w:lastRowFirstColumn="0" w:lastRowLastColumn="0"/>
              <w:rPr>
                <w:rFonts w:ascii="Aptos Narrow" w:hAnsi="Aptos Narrow"/>
                <w:sz w:val="22"/>
                <w:szCs w:val="22"/>
              </w:rPr>
            </w:pPr>
            <w:r w:rsidRPr="00B6200C">
              <w:rPr>
                <w:rFonts w:ascii="Aptos Narrow" w:hAnsi="Aptos Narrow"/>
                <w:color w:val="000000"/>
                <w:sz w:val="22"/>
                <w:szCs w:val="22"/>
              </w:rPr>
              <w:t>50.81026</w:t>
            </w:r>
          </w:p>
        </w:tc>
        <w:tc>
          <w:tcPr>
            <w:tcW w:w="1891" w:type="dxa"/>
            <w:tcBorders>
              <w:top w:val="none" w:sz="0" w:space="0" w:color="auto"/>
              <w:bottom w:val="none" w:sz="0" w:space="0" w:color="auto"/>
            </w:tcBorders>
            <w:vAlign w:val="center"/>
          </w:tcPr>
          <w:p w14:paraId="2C1043F7" w14:textId="4874E895" w:rsidR="00424A56" w:rsidRPr="00B6200C" w:rsidRDefault="00424A56" w:rsidP="00E5529C">
            <w:pPr>
              <w:jc w:val="center"/>
              <w:cnfStyle w:val="000000100000" w:firstRow="0" w:lastRow="0" w:firstColumn="0" w:lastColumn="0" w:oddVBand="0" w:evenVBand="0" w:oddHBand="1" w:evenHBand="0" w:firstRowFirstColumn="0" w:firstRowLastColumn="0" w:lastRowFirstColumn="0" w:lastRowLastColumn="0"/>
              <w:rPr>
                <w:rFonts w:ascii="Aptos Narrow" w:hAnsi="Aptos Narrow"/>
                <w:sz w:val="22"/>
                <w:szCs w:val="22"/>
              </w:rPr>
            </w:pPr>
            <w:r w:rsidRPr="00B6200C">
              <w:rPr>
                <w:rFonts w:ascii="Aptos Narrow" w:hAnsi="Aptos Narrow"/>
                <w:color w:val="000000"/>
                <w:sz w:val="22"/>
                <w:szCs w:val="22"/>
              </w:rPr>
              <w:t>-0.95717</w:t>
            </w:r>
          </w:p>
        </w:tc>
      </w:tr>
      <w:tr w:rsidR="00424A56" w:rsidRPr="00B6200C" w14:paraId="56AE5246" w14:textId="3F774F9B" w:rsidTr="00E5529C">
        <w:tc>
          <w:tcPr>
            <w:cnfStyle w:val="001000000000" w:firstRow="0" w:lastRow="0" w:firstColumn="1" w:lastColumn="0" w:oddVBand="0" w:evenVBand="0" w:oddHBand="0" w:evenHBand="0" w:firstRowFirstColumn="0" w:firstRowLastColumn="0" w:lastRowFirstColumn="0" w:lastRowLastColumn="0"/>
            <w:tcW w:w="1701" w:type="dxa"/>
            <w:vAlign w:val="center"/>
          </w:tcPr>
          <w:p w14:paraId="091CF96A" w14:textId="77777777" w:rsidR="00424A56" w:rsidRPr="00B6200C" w:rsidRDefault="00424A56" w:rsidP="00E5529C">
            <w:pPr>
              <w:jc w:val="center"/>
              <w:rPr>
                <w:rFonts w:ascii="Aptos Narrow" w:hAnsi="Aptos Narrow"/>
                <w:sz w:val="22"/>
                <w:szCs w:val="22"/>
              </w:rPr>
            </w:pPr>
            <w:r w:rsidRPr="00B6200C">
              <w:rPr>
                <w:rFonts w:ascii="Aptos Narrow" w:hAnsi="Aptos Narrow"/>
                <w:sz w:val="22"/>
                <w:szCs w:val="22"/>
              </w:rPr>
              <w:t>Chichester</w:t>
            </w:r>
          </w:p>
        </w:tc>
        <w:tc>
          <w:tcPr>
            <w:tcW w:w="1418" w:type="dxa"/>
            <w:vAlign w:val="center"/>
          </w:tcPr>
          <w:p w14:paraId="37991D1E" w14:textId="77777777" w:rsidR="00424A56" w:rsidRPr="00B6200C" w:rsidRDefault="00424A56" w:rsidP="00E5529C">
            <w:pPr>
              <w:jc w:val="center"/>
              <w:cnfStyle w:val="000000000000" w:firstRow="0" w:lastRow="0" w:firstColumn="0" w:lastColumn="0" w:oddVBand="0" w:evenVBand="0" w:oddHBand="0" w:evenHBand="0" w:firstRowFirstColumn="0" w:firstRowLastColumn="0" w:lastRowFirstColumn="0" w:lastRowLastColumn="0"/>
              <w:rPr>
                <w:rFonts w:ascii="Aptos Narrow" w:hAnsi="Aptos Narrow"/>
                <w:sz w:val="22"/>
                <w:szCs w:val="22"/>
              </w:rPr>
            </w:pPr>
            <w:r w:rsidRPr="00B6200C">
              <w:rPr>
                <w:rFonts w:ascii="Aptos Narrow" w:hAnsi="Aptos Narrow"/>
                <w:sz w:val="22"/>
                <w:szCs w:val="22"/>
              </w:rPr>
              <w:t xml:space="preserve">West </w:t>
            </w:r>
            <w:proofErr w:type="spellStart"/>
            <w:r w:rsidRPr="00B6200C">
              <w:rPr>
                <w:rFonts w:ascii="Aptos Narrow" w:hAnsi="Aptos Narrow"/>
                <w:sz w:val="22"/>
                <w:szCs w:val="22"/>
              </w:rPr>
              <w:t>Itchenor</w:t>
            </w:r>
            <w:proofErr w:type="spellEnd"/>
          </w:p>
        </w:tc>
        <w:tc>
          <w:tcPr>
            <w:tcW w:w="1947" w:type="dxa"/>
            <w:vAlign w:val="center"/>
          </w:tcPr>
          <w:p w14:paraId="07FED7ED" w14:textId="77777777" w:rsidR="00424A56" w:rsidRPr="00B6200C" w:rsidRDefault="00424A56" w:rsidP="00E5529C">
            <w:pPr>
              <w:jc w:val="center"/>
              <w:cnfStyle w:val="000000000000" w:firstRow="0" w:lastRow="0" w:firstColumn="0" w:lastColumn="0" w:oddVBand="0" w:evenVBand="0" w:oddHBand="0" w:evenHBand="0" w:firstRowFirstColumn="0" w:firstRowLastColumn="0" w:lastRowFirstColumn="0" w:lastRowLastColumn="0"/>
              <w:rPr>
                <w:rFonts w:ascii="Aptos Narrow" w:hAnsi="Aptos Narrow"/>
                <w:sz w:val="22"/>
                <w:szCs w:val="22"/>
              </w:rPr>
            </w:pPr>
            <w:r w:rsidRPr="00B6200C">
              <w:rPr>
                <w:rFonts w:ascii="Aptos Narrow" w:hAnsi="Aptos Narrow"/>
                <w:sz w:val="22"/>
                <w:szCs w:val="22"/>
              </w:rPr>
              <w:t>5</w:t>
            </w:r>
            <w:r w:rsidRPr="00B6200C">
              <w:rPr>
                <w:rFonts w:ascii="Aptos Narrow" w:hAnsi="Aptos Narrow"/>
                <w:sz w:val="22"/>
                <w:szCs w:val="22"/>
                <w:vertAlign w:val="superscript"/>
              </w:rPr>
              <w:t>th</w:t>
            </w:r>
            <w:r w:rsidRPr="00B6200C">
              <w:rPr>
                <w:rFonts w:ascii="Aptos Narrow" w:hAnsi="Aptos Narrow"/>
                <w:sz w:val="22"/>
                <w:szCs w:val="22"/>
              </w:rPr>
              <w:t xml:space="preserve"> and 6</w:t>
            </w:r>
            <w:r w:rsidRPr="00B6200C">
              <w:rPr>
                <w:rFonts w:ascii="Aptos Narrow" w:hAnsi="Aptos Narrow"/>
                <w:sz w:val="22"/>
                <w:szCs w:val="22"/>
                <w:vertAlign w:val="superscript"/>
              </w:rPr>
              <w:t>th</w:t>
            </w:r>
            <w:r w:rsidRPr="00B6200C">
              <w:rPr>
                <w:rFonts w:ascii="Aptos Narrow" w:hAnsi="Aptos Narrow"/>
                <w:sz w:val="22"/>
                <w:szCs w:val="22"/>
              </w:rPr>
              <w:t xml:space="preserve"> November 2024</w:t>
            </w:r>
          </w:p>
        </w:tc>
        <w:tc>
          <w:tcPr>
            <w:tcW w:w="1685" w:type="dxa"/>
            <w:vAlign w:val="center"/>
          </w:tcPr>
          <w:p w14:paraId="54E482D8" w14:textId="545B67DA" w:rsidR="00424A56" w:rsidRPr="00B6200C" w:rsidRDefault="00424A56" w:rsidP="00E5529C">
            <w:pPr>
              <w:jc w:val="center"/>
              <w:cnfStyle w:val="000000000000" w:firstRow="0" w:lastRow="0" w:firstColumn="0" w:lastColumn="0" w:oddVBand="0" w:evenVBand="0" w:oddHBand="0" w:evenHBand="0" w:firstRowFirstColumn="0" w:firstRowLastColumn="0" w:lastRowFirstColumn="0" w:lastRowLastColumn="0"/>
              <w:rPr>
                <w:rFonts w:ascii="Aptos Narrow" w:hAnsi="Aptos Narrow"/>
                <w:sz w:val="22"/>
                <w:szCs w:val="22"/>
              </w:rPr>
            </w:pPr>
            <w:r w:rsidRPr="00B6200C">
              <w:rPr>
                <w:rFonts w:ascii="Aptos Narrow" w:hAnsi="Aptos Narrow"/>
                <w:color w:val="000000"/>
                <w:sz w:val="22"/>
                <w:szCs w:val="22"/>
              </w:rPr>
              <w:t>50.80773</w:t>
            </w:r>
          </w:p>
        </w:tc>
        <w:tc>
          <w:tcPr>
            <w:tcW w:w="1891" w:type="dxa"/>
            <w:vAlign w:val="center"/>
          </w:tcPr>
          <w:p w14:paraId="5F35CE57" w14:textId="51ABEB77" w:rsidR="00424A56" w:rsidRPr="00B6200C" w:rsidRDefault="00424A56" w:rsidP="00E5529C">
            <w:pPr>
              <w:jc w:val="center"/>
              <w:cnfStyle w:val="000000000000" w:firstRow="0" w:lastRow="0" w:firstColumn="0" w:lastColumn="0" w:oddVBand="0" w:evenVBand="0" w:oddHBand="0" w:evenHBand="0" w:firstRowFirstColumn="0" w:firstRowLastColumn="0" w:lastRowFirstColumn="0" w:lastRowLastColumn="0"/>
              <w:rPr>
                <w:rFonts w:ascii="Aptos Narrow" w:hAnsi="Aptos Narrow"/>
                <w:sz w:val="22"/>
                <w:szCs w:val="22"/>
              </w:rPr>
            </w:pPr>
            <w:r w:rsidRPr="00B6200C">
              <w:rPr>
                <w:rFonts w:ascii="Aptos Narrow" w:hAnsi="Aptos Narrow"/>
                <w:color w:val="000000"/>
                <w:sz w:val="22"/>
                <w:szCs w:val="22"/>
              </w:rPr>
              <w:t>-0.87087</w:t>
            </w:r>
          </w:p>
        </w:tc>
      </w:tr>
    </w:tbl>
    <w:p w14:paraId="5631E076" w14:textId="77777777" w:rsidR="003B3B8B" w:rsidRDefault="003B3B8B" w:rsidP="00874384">
      <w:pPr>
        <w:pStyle w:val="NoSpacing"/>
      </w:pPr>
    </w:p>
    <w:p w14:paraId="338012D5" w14:textId="77777777" w:rsidR="00AF56F9" w:rsidRDefault="00AF56F9" w:rsidP="00874384">
      <w:pPr>
        <w:pStyle w:val="NoSpacing"/>
      </w:pPr>
    </w:p>
    <w:p w14:paraId="4E1B8148" w14:textId="77777777" w:rsidR="00F2339D" w:rsidRDefault="00F2339D" w:rsidP="00874384">
      <w:pPr>
        <w:pStyle w:val="NoSpacing"/>
      </w:pPr>
    </w:p>
    <w:p w14:paraId="1166D0D2" w14:textId="13CC970C" w:rsidR="003F3144" w:rsidRPr="00E30FA0" w:rsidRDefault="00FC05C3" w:rsidP="00FC05C3">
      <w:pPr>
        <w:pStyle w:val="Heading2"/>
      </w:pPr>
      <w:bookmarkStart w:id="4" w:name="_Toc213154135"/>
      <w:r>
        <w:lastRenderedPageBreak/>
        <w:t>Sampling regime and experimental design</w:t>
      </w:r>
      <w:bookmarkEnd w:id="4"/>
    </w:p>
    <w:p w14:paraId="02684711" w14:textId="77777777" w:rsidR="00E83A8C" w:rsidRDefault="00E83A8C" w:rsidP="00103AF4">
      <w:pPr>
        <w:pStyle w:val="NoSpacing"/>
      </w:pPr>
    </w:p>
    <w:p w14:paraId="32B1B80C" w14:textId="11D0185A" w:rsidR="00E83A8C" w:rsidRDefault="00E83A8C" w:rsidP="00E83A8C">
      <w:r w:rsidRPr="04F18842">
        <w:t>To compartmentalize potential sources of variation we therefore chose a nested survey design</w:t>
      </w:r>
      <w:r w:rsidRPr="00FC23E9">
        <w:rPr>
          <w:szCs w:val="24"/>
        </w:rPr>
        <w:t xml:space="preserve"> (</w:t>
      </w:r>
      <w:r w:rsidR="00697281">
        <w:rPr>
          <w:szCs w:val="24"/>
        </w:rPr>
        <w:t>Figure 1</w:t>
      </w:r>
      <w:r w:rsidRPr="00FC23E9">
        <w:rPr>
          <w:szCs w:val="24"/>
        </w:rPr>
        <w:t>)</w:t>
      </w:r>
      <w:r w:rsidRPr="04F18842">
        <w:t xml:space="preserve"> of 6 estuaries, 2 </w:t>
      </w:r>
      <w:r>
        <w:t>salt</w:t>
      </w:r>
      <w:r w:rsidRPr="04F18842">
        <w:t xml:space="preserve">marshes per estuary, three vegetation zones of (presumed) differing elevation (pioneer/low, low to mid, upper) per </w:t>
      </w:r>
      <w:r>
        <w:t>salt</w:t>
      </w:r>
      <w:r w:rsidRPr="04F18842">
        <w:t>marsh, and six locations, chosen at random, per vegetation zone. We considered the saltmarshes to be ‘intact’ i.e. with no known history of being in an area of managed realignment and/or formed from other restoration interventions (according to personal communications</w:t>
      </w:r>
      <w:r>
        <w:t xml:space="preserve"> from landowners and land managers</w:t>
      </w:r>
      <w:r w:rsidRPr="04F18842">
        <w:t xml:space="preserve">). We did not control for the presence of grazers and/or browsers, whether from agricultural activities or wild fauna such as geese and small mammals. </w:t>
      </w:r>
    </w:p>
    <w:p w14:paraId="22F22D0E" w14:textId="7C032BB7" w:rsidR="00996011" w:rsidRDefault="00996011" w:rsidP="00E83A8C">
      <w:r w:rsidRPr="00BE4807">
        <w:rPr>
          <w:szCs w:val="24"/>
        </w:rPr>
        <w:t xml:space="preserve">To maximise the </w:t>
      </w:r>
      <w:r>
        <w:rPr>
          <w:szCs w:val="24"/>
        </w:rPr>
        <w:t xml:space="preserve">presumed </w:t>
      </w:r>
      <w:r w:rsidRPr="00BE4807">
        <w:rPr>
          <w:szCs w:val="24"/>
        </w:rPr>
        <w:t xml:space="preserve">extent of sediment and climate variation, we </w:t>
      </w:r>
      <w:r>
        <w:rPr>
          <w:szCs w:val="24"/>
        </w:rPr>
        <w:t xml:space="preserve">gained </w:t>
      </w:r>
      <w:r w:rsidRPr="00BE4807">
        <w:rPr>
          <w:szCs w:val="24"/>
        </w:rPr>
        <w:t xml:space="preserve">survey permissions for </w:t>
      </w:r>
      <w:r>
        <w:rPr>
          <w:szCs w:val="24"/>
        </w:rPr>
        <w:t>salt</w:t>
      </w:r>
      <w:r w:rsidRPr="00BE4807">
        <w:rPr>
          <w:szCs w:val="24"/>
        </w:rPr>
        <w:t xml:space="preserve">marshes in 3 estuaries in the </w:t>
      </w:r>
      <w:proofErr w:type="gramStart"/>
      <w:r w:rsidRPr="00BE4807">
        <w:rPr>
          <w:szCs w:val="24"/>
        </w:rPr>
        <w:t>north west</w:t>
      </w:r>
      <w:proofErr w:type="gramEnd"/>
      <w:r w:rsidRPr="00BE4807">
        <w:rPr>
          <w:szCs w:val="24"/>
        </w:rPr>
        <w:t xml:space="preserve"> of England, where we expected coarser, sandier sediment to underl</w:t>
      </w:r>
      <w:r>
        <w:rPr>
          <w:szCs w:val="24"/>
        </w:rPr>
        <w:t>y</w:t>
      </w:r>
      <w:r w:rsidRPr="00BE4807">
        <w:rPr>
          <w:szCs w:val="24"/>
        </w:rPr>
        <w:t xml:space="preserve"> the</w:t>
      </w:r>
      <w:r>
        <w:rPr>
          <w:szCs w:val="24"/>
        </w:rPr>
        <w:t xml:space="preserve"> saltmarsh</w:t>
      </w:r>
      <w:r w:rsidRPr="00BE4807">
        <w:rPr>
          <w:szCs w:val="24"/>
        </w:rPr>
        <w:t xml:space="preserve">es, and 3 estuaries in the south and east of England, where we expected muddier, finer sediment to underly the </w:t>
      </w:r>
      <w:r>
        <w:rPr>
          <w:szCs w:val="24"/>
        </w:rPr>
        <w:t>salt</w:t>
      </w:r>
      <w:r w:rsidRPr="00BE4807">
        <w:rPr>
          <w:szCs w:val="24"/>
        </w:rPr>
        <w:t>marshes</w:t>
      </w:r>
    </w:p>
    <w:p w14:paraId="59D960DA" w14:textId="77777777" w:rsidR="00DE7C48" w:rsidRDefault="00DE7C48" w:rsidP="00DE7C48">
      <w:pPr>
        <w:rPr>
          <w:szCs w:val="24"/>
        </w:rPr>
      </w:pPr>
      <w:r>
        <w:rPr>
          <w:noProof/>
        </w:rPr>
        <w:drawing>
          <wp:inline distT="0" distB="0" distL="0" distR="0" wp14:anchorId="6620C213" wp14:editId="11C24013">
            <wp:extent cx="6115685" cy="3439795"/>
            <wp:effectExtent l="0" t="0" r="0" b="8255"/>
            <wp:docPr id="97791718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7917183" name=""/>
                    <pic:cNvPicPr/>
                  </pic:nvPicPr>
                  <pic:blipFill>
                    <a:blip r:embed="rId8">
                      <a:extLst>
                        <a:ext uri="{96DAC541-7B7A-43D3-8B79-37D633B846F1}">
                          <asvg:svgBlip xmlns:asvg="http://schemas.microsoft.com/office/drawing/2016/SVG/main" r:embed="rId9"/>
                        </a:ext>
                      </a:extLst>
                    </a:blip>
                    <a:stretch>
                      <a:fillRect/>
                    </a:stretch>
                  </pic:blipFill>
                  <pic:spPr>
                    <a:xfrm>
                      <a:off x="0" y="0"/>
                      <a:ext cx="6115685" cy="3439795"/>
                    </a:xfrm>
                    <a:prstGeom prst="rect">
                      <a:avLst/>
                    </a:prstGeom>
                  </pic:spPr>
                </pic:pic>
              </a:graphicData>
            </a:graphic>
          </wp:inline>
        </w:drawing>
      </w:r>
    </w:p>
    <w:p w14:paraId="03657406" w14:textId="54A6E79B" w:rsidR="00DE7C48" w:rsidRPr="004B621F" w:rsidRDefault="00DE7C48" w:rsidP="00DE7C48">
      <w:pPr>
        <w:pStyle w:val="Caption"/>
        <w:rPr>
          <w:sz w:val="20"/>
          <w:szCs w:val="20"/>
        </w:rPr>
      </w:pPr>
      <w:bookmarkStart w:id="5" w:name="_Ref192784542"/>
      <w:r w:rsidRPr="004B621F">
        <w:rPr>
          <w:sz w:val="20"/>
          <w:szCs w:val="20"/>
        </w:rPr>
        <w:t>Figur</w:t>
      </w:r>
      <w:bookmarkEnd w:id="5"/>
      <w:r>
        <w:rPr>
          <w:sz w:val="20"/>
          <w:szCs w:val="20"/>
        </w:rPr>
        <w:t>e 1:</w:t>
      </w:r>
      <w:r w:rsidRPr="004B621F">
        <w:rPr>
          <w:sz w:val="20"/>
          <w:szCs w:val="20"/>
        </w:rPr>
        <w:t xml:space="preserve"> </w:t>
      </w:r>
      <w:r w:rsidRPr="00491931">
        <w:rPr>
          <w:sz w:val="20"/>
          <w:szCs w:val="20"/>
        </w:rPr>
        <w:t>Nested survey design to investigat</w:t>
      </w:r>
      <w:r>
        <w:rPr>
          <w:sz w:val="20"/>
          <w:szCs w:val="20"/>
        </w:rPr>
        <w:t>e</w:t>
      </w:r>
      <w:r w:rsidRPr="00491931">
        <w:rPr>
          <w:sz w:val="20"/>
          <w:szCs w:val="20"/>
        </w:rPr>
        <w:t xml:space="preserve"> denitrification dynamics and potential driver variables</w:t>
      </w:r>
      <w:r w:rsidRPr="004B621F">
        <w:rPr>
          <w:b w:val="0"/>
          <w:bCs/>
          <w:sz w:val="20"/>
          <w:szCs w:val="20"/>
        </w:rPr>
        <w:t xml:space="preserve"> in</w:t>
      </w:r>
      <w:r>
        <w:rPr>
          <w:b w:val="0"/>
          <w:bCs/>
          <w:sz w:val="20"/>
          <w:szCs w:val="20"/>
        </w:rPr>
        <w:t xml:space="preserve"> English saltmarshes</w:t>
      </w:r>
      <w:r w:rsidRPr="004B621F">
        <w:rPr>
          <w:b w:val="0"/>
          <w:bCs/>
          <w:sz w:val="20"/>
          <w:szCs w:val="20"/>
        </w:rPr>
        <w:t xml:space="preserve">. The photos show vegetation communities in the different vegetation zones at Warton Bank </w:t>
      </w:r>
      <w:r>
        <w:rPr>
          <w:b w:val="0"/>
          <w:bCs/>
          <w:sz w:val="20"/>
          <w:szCs w:val="20"/>
        </w:rPr>
        <w:t>salt</w:t>
      </w:r>
      <w:r w:rsidRPr="004B621F">
        <w:rPr>
          <w:b w:val="0"/>
          <w:bCs/>
          <w:sz w:val="20"/>
          <w:szCs w:val="20"/>
        </w:rPr>
        <w:t xml:space="preserve">marsh on the Ribble. The small square in the upper (high) </w:t>
      </w:r>
      <w:r>
        <w:rPr>
          <w:b w:val="0"/>
          <w:bCs/>
          <w:sz w:val="20"/>
          <w:szCs w:val="20"/>
        </w:rPr>
        <w:t>salt</w:t>
      </w:r>
      <w:r w:rsidRPr="004B621F">
        <w:rPr>
          <w:b w:val="0"/>
          <w:bCs/>
          <w:sz w:val="20"/>
          <w:szCs w:val="20"/>
        </w:rPr>
        <w:t>marsh photo is the 25 x 25 cm quadrat where above-ground biomass would be clipped from.</w:t>
      </w:r>
      <w:r>
        <w:rPr>
          <w:b w:val="0"/>
          <w:bCs/>
          <w:sz w:val="20"/>
          <w:szCs w:val="20"/>
        </w:rPr>
        <w:t xml:space="preserve"> </w:t>
      </w:r>
    </w:p>
    <w:p w14:paraId="7839BB75" w14:textId="77777777" w:rsidR="00DE7C48" w:rsidRDefault="00DE7C48" w:rsidP="00E83A8C"/>
    <w:p w14:paraId="09691BF8" w14:textId="77777777" w:rsidR="00E83A8C" w:rsidRDefault="00E83A8C" w:rsidP="00103AF4">
      <w:pPr>
        <w:pStyle w:val="NoSpacing"/>
      </w:pPr>
    </w:p>
    <w:p w14:paraId="15DF26FD" w14:textId="17D487D5" w:rsidR="00B24034" w:rsidRDefault="00B24034" w:rsidP="00B24034">
      <w:pPr>
        <w:pStyle w:val="Heading3"/>
      </w:pPr>
      <w:bookmarkStart w:id="6" w:name="_Toc213154136"/>
      <w:bookmarkStart w:id="7" w:name="_Toc204240449"/>
      <w:r>
        <w:t>Saltmarsh Vegetation Community</w:t>
      </w:r>
      <w:bookmarkEnd w:id="6"/>
      <w:r>
        <w:t xml:space="preserve"> </w:t>
      </w:r>
      <w:bookmarkEnd w:id="7"/>
    </w:p>
    <w:p w14:paraId="2CE76565" w14:textId="1B53FB8E" w:rsidR="00B24034" w:rsidRPr="00ED6D81" w:rsidRDefault="00603BC1" w:rsidP="00B24034">
      <w:r>
        <w:t>I</w:t>
      </w:r>
      <w:r w:rsidR="00B24034" w:rsidRPr="00ED6D81">
        <w:t xml:space="preserve">n each saltmarsh, we sampled three distinct </w:t>
      </w:r>
      <w:r w:rsidR="00B24034">
        <w:t xml:space="preserve">elevation-related </w:t>
      </w:r>
      <w:r w:rsidR="00B24034" w:rsidRPr="00ED6D81">
        <w:t>vegetation zones, aiming for pioneer</w:t>
      </w:r>
      <w:r w:rsidR="00B24034">
        <w:t xml:space="preserve"> to low</w:t>
      </w:r>
      <w:r w:rsidR="00B24034" w:rsidRPr="00ED6D81">
        <w:t xml:space="preserve">, low-mid and upper saltmarsh communities to the extent that was practicable. </w:t>
      </w:r>
    </w:p>
    <w:p w14:paraId="442990FC" w14:textId="77777777" w:rsidR="00B24034" w:rsidRPr="00ED6D81" w:rsidRDefault="00B24034" w:rsidP="00B24034">
      <w:r w:rsidRPr="00ED6D81">
        <w:lastRenderedPageBreak/>
        <w:t>In each saltmarsh vegetation zone identified</w:t>
      </w:r>
      <w:r>
        <w:t xml:space="preserve"> in the field</w:t>
      </w:r>
      <w:r w:rsidRPr="00ED6D81">
        <w:t>, we surveyed six 1 x 1 m quadrats at random, but avoiding, to the extent possible</w:t>
      </w:r>
      <w:r>
        <w:t>,</w:t>
      </w:r>
      <w:r w:rsidRPr="00ED6D81">
        <w:t xml:space="preserve"> creek lines, nesting or roosting birds, feeding bird assemblages and saltpans. Through random sampling, taking account of these constraints, we tried to ensure unbiased characterisation of the vegetation and denitrification rates while capturing a representative sample of the vegetation community within a given zone. </w:t>
      </w:r>
    </w:p>
    <w:p w14:paraId="78144DCE" w14:textId="1F5F1306" w:rsidR="00B779EF" w:rsidRDefault="00B24034" w:rsidP="00B24034">
      <w:r w:rsidRPr="00ED6D81">
        <w:t xml:space="preserve">Once the quadrat had been </w:t>
      </w:r>
      <w:proofErr w:type="gramStart"/>
      <w:r w:rsidRPr="00ED6D81">
        <w:t>placed</w:t>
      </w:r>
      <w:proofErr w:type="gramEnd"/>
      <w:r w:rsidRPr="00ED6D81">
        <w:t xml:space="preserve"> we recorded percentage cover of bare ground, litter, and live vegetation. In general, vegetation was identified to genus level although clearly identifiable species</w:t>
      </w:r>
      <w:r>
        <w:t xml:space="preserve"> which we expected to play different functional roles</w:t>
      </w:r>
      <w:r w:rsidRPr="00ED6D81">
        <w:t xml:space="preserve"> were recorded separately e.g.</w:t>
      </w:r>
      <w:r>
        <w:t xml:space="preserve"> the herbaceous</w:t>
      </w:r>
      <w:r w:rsidRPr="00ED6D81">
        <w:t xml:space="preserve"> </w:t>
      </w:r>
      <w:r w:rsidRPr="00ED6D81">
        <w:rPr>
          <w:i/>
          <w:iCs/>
        </w:rPr>
        <w:t xml:space="preserve">Atriplex </w:t>
      </w:r>
      <w:proofErr w:type="spellStart"/>
      <w:r w:rsidRPr="00ED6D81">
        <w:rPr>
          <w:i/>
          <w:iCs/>
        </w:rPr>
        <w:t>prostrata</w:t>
      </w:r>
      <w:proofErr w:type="spellEnd"/>
      <w:r w:rsidRPr="00ED6D81">
        <w:t xml:space="preserve"> and</w:t>
      </w:r>
      <w:r>
        <w:t xml:space="preserve"> woody</w:t>
      </w:r>
      <w:r w:rsidRPr="00ED6D81">
        <w:t xml:space="preserve"> </w:t>
      </w:r>
      <w:r w:rsidRPr="00ED6D81">
        <w:rPr>
          <w:i/>
          <w:iCs/>
        </w:rPr>
        <w:t xml:space="preserve">Atriplex </w:t>
      </w:r>
      <w:proofErr w:type="spellStart"/>
      <w:r w:rsidRPr="00ED6D81">
        <w:rPr>
          <w:i/>
          <w:iCs/>
        </w:rPr>
        <w:t>portulacoides</w:t>
      </w:r>
      <w:proofErr w:type="spellEnd"/>
      <w:r w:rsidRPr="00ED6D81">
        <w:t xml:space="preserve">. For those species with greater than or equal to 15 % cover, height was also recorded, on five randomly selected individuals per species. </w:t>
      </w:r>
    </w:p>
    <w:p w14:paraId="279E74F2" w14:textId="77777777" w:rsidR="00F06F1B" w:rsidRDefault="00DD262E" w:rsidP="00DD262E">
      <w:r w:rsidRPr="00ED6D81">
        <w:t>In the first five of the six quadrats</w:t>
      </w:r>
      <w:r>
        <w:t xml:space="preserve"> surveyed</w:t>
      </w:r>
      <w:r w:rsidRPr="00ED6D81">
        <w:t>, aboveground live and aboveground litter</w:t>
      </w:r>
      <w:r>
        <w:t xml:space="preserve"> (organic material)</w:t>
      </w:r>
      <w:r w:rsidRPr="00ED6D81">
        <w:t xml:space="preserve"> biomass samples were also taken. We clipped biomass from a 25 x 25 cm quadrat</w:t>
      </w:r>
      <w:r>
        <w:t xml:space="preserve"> placed within the boundaries of the 1 x 1 m quadrat</w:t>
      </w:r>
      <w:r w:rsidR="006B02CA">
        <w:t xml:space="preserve"> (Figure 1)</w:t>
      </w:r>
      <w:r w:rsidRPr="00ED6D81">
        <w:t>, taking care to separate free litter from live biomass. Any dead material that was attached to live material was considered as part of the aboveground live biomass pool</w:t>
      </w:r>
      <w:r w:rsidRPr="00CA1BC0">
        <w:t xml:space="preserve">. </w:t>
      </w:r>
    </w:p>
    <w:p w14:paraId="16B64040" w14:textId="77777777" w:rsidR="005F2208" w:rsidRDefault="00DD262E" w:rsidP="00DD262E">
      <w:r w:rsidRPr="00CA1BC0">
        <w:t xml:space="preserve">In two of six quadrats, belowground biomass samples were also taken. To maximize the extent of variation, we aimed to take samples from quadrats at the extremes of the above ground biomass distribution, as estimated by eye at the time of sampling. Thus, a quadrat was chosen with relatively low aboveground biomass and one with relatively high aboveground biomass, given they were placed initially at random as part of the initial vegetation survey. </w:t>
      </w:r>
    </w:p>
    <w:p w14:paraId="77844C77" w14:textId="18985B33" w:rsidR="00DD262E" w:rsidRDefault="00DD262E" w:rsidP="00DD262E">
      <w:r>
        <w:t xml:space="preserve">Following Saltmarsh Code protocols, we collected belowground biomass in a 20 cm deep core of 3.5 cm internal diameter. We dug-in the core within the aboveground biomass quadrat once aboveground biomass had been </w:t>
      </w:r>
      <w:r w:rsidR="006A4019">
        <w:t>collected</w:t>
      </w:r>
      <w:r w:rsidRPr="00ED6D81">
        <w:t xml:space="preserve">. </w:t>
      </w:r>
      <w:r>
        <w:t xml:space="preserve">We note that some root biomass cores are missing from the analysis herein due to laboratory handling constraints.  </w:t>
      </w:r>
    </w:p>
    <w:p w14:paraId="4FBAE905" w14:textId="77777777" w:rsidR="00B779EF" w:rsidRDefault="00B779EF" w:rsidP="00B24034"/>
    <w:p w14:paraId="317807A0" w14:textId="77777777" w:rsidR="00B779EF" w:rsidRDefault="00B779EF" w:rsidP="00B24034"/>
    <w:p w14:paraId="0AA97FAF" w14:textId="77777777" w:rsidR="00B24034" w:rsidRDefault="00B24034" w:rsidP="00B24034">
      <w:pPr>
        <w:pStyle w:val="Heading3"/>
      </w:pPr>
      <w:bookmarkStart w:id="8" w:name="_Toc204240450"/>
      <w:bookmarkStart w:id="9" w:name="_Toc213154137"/>
      <w:r>
        <w:t>Saltmarsh Denitrification and Sediment Characterisation: Sample Collection for Analysis</w:t>
      </w:r>
      <w:bookmarkEnd w:id="8"/>
      <w:bookmarkEnd w:id="9"/>
    </w:p>
    <w:p w14:paraId="239405DD" w14:textId="5B9C428B" w:rsidR="00B24034" w:rsidRDefault="00B24034" w:rsidP="00B24034">
      <w:r w:rsidRPr="00D10E8D">
        <w:t xml:space="preserve">Within the 1 x 1m quadrats, we chose 2 locations of approximately the same aboveground plant community composition and biomass (estimated by eye) for </w:t>
      </w:r>
      <w:r w:rsidR="00406030">
        <w:t>salt marsh</w:t>
      </w:r>
      <w:r w:rsidRPr="00D10E8D">
        <w:t xml:space="preserve"> denitrification core collection.</w:t>
      </w:r>
      <w:r>
        <w:t xml:space="preserve"> </w:t>
      </w:r>
    </w:p>
    <w:p w14:paraId="00B1A5FD" w14:textId="77777777" w:rsidR="00B24034" w:rsidRPr="00D10E8D" w:rsidRDefault="00B24034" w:rsidP="00B24034">
      <w:r w:rsidRPr="00D10E8D">
        <w:t xml:space="preserve">Two black plastic cores of 68 mm internal diameter, and 22 cm depth were hammered into the sediment, having removed </w:t>
      </w:r>
      <w:r>
        <w:t>any interfering v</w:t>
      </w:r>
      <w:r w:rsidRPr="00D10E8D">
        <w:t xml:space="preserve">egetation first, leaving approximately 2 cm </w:t>
      </w:r>
      <w:r>
        <w:t xml:space="preserve">of the core </w:t>
      </w:r>
      <w:r w:rsidRPr="00D10E8D">
        <w:t>showing above ground. Cores were then extracted</w:t>
      </w:r>
      <w:r>
        <w:t xml:space="preserve"> with a post-hole spade</w:t>
      </w:r>
      <w:r w:rsidRPr="00D10E8D">
        <w:t>, capped at both ends</w:t>
      </w:r>
      <w:r>
        <w:t xml:space="preserve"> in black plastic</w:t>
      </w:r>
      <w:r w:rsidRPr="00D10E8D">
        <w:t>, appropriately labelled and kept as cool as practicable (but not frozen) until transfer to Bangor University for laboratory analysis.</w:t>
      </w:r>
      <w:r>
        <w:t xml:space="preserve"> In the field, they were kept cool in insulated plastic boxes, with ice packs subsequently added at the end of each day in the field, exchanged daily for fresh ice packs for the duration of sampling and transfer to Bangor University </w:t>
      </w:r>
      <w:r w:rsidRPr="00CC12CB">
        <w:t>laboratory. Prior to analysis, cores were kept in a cool room at 3</w:t>
      </w:r>
      <w:r w:rsidRPr="00CC12CB">
        <w:rPr>
          <w:rFonts w:cs="Arial"/>
        </w:rPr>
        <w:t>°</w:t>
      </w:r>
      <w:r w:rsidRPr="00CC12CB">
        <w:t>C.</w:t>
      </w:r>
      <w:r>
        <w:t xml:space="preserve"> </w:t>
      </w:r>
      <w:r w:rsidRPr="00D10E8D">
        <w:t xml:space="preserve"> </w:t>
      </w:r>
    </w:p>
    <w:p w14:paraId="3A397EF4" w14:textId="728C57A5" w:rsidR="00B24034" w:rsidRPr="007713E2" w:rsidRDefault="00B24034" w:rsidP="00B24034">
      <w:pPr>
        <w:rPr>
          <w:color w:val="FF0000"/>
        </w:rPr>
      </w:pPr>
      <w:r w:rsidRPr="00D10E8D">
        <w:lastRenderedPageBreak/>
        <w:t xml:space="preserve">We used sediment extracts from these cores, </w:t>
      </w:r>
      <w:r>
        <w:t xml:space="preserve">after </w:t>
      </w:r>
      <w:r w:rsidRPr="00D10E8D">
        <w:t xml:space="preserve">the denitrification assays described in the </w:t>
      </w:r>
      <w:r w:rsidR="00A700ED">
        <w:t xml:space="preserve">Laboratory analyses </w:t>
      </w:r>
      <w:r w:rsidRPr="00D10E8D">
        <w:t xml:space="preserve">section, for characterisation of organic matter content </w:t>
      </w:r>
      <w:r>
        <w:t>and bulk density</w:t>
      </w:r>
      <w:r w:rsidR="00AA5DDE">
        <w:t xml:space="preserve"> measures</w:t>
      </w:r>
      <w:r w:rsidRPr="00D10E8D">
        <w:t>.</w:t>
      </w:r>
      <w:r>
        <w:rPr>
          <w:color w:val="FF0000"/>
        </w:rPr>
        <w:t xml:space="preserve">   </w:t>
      </w:r>
    </w:p>
    <w:p w14:paraId="4AC81847" w14:textId="77777777" w:rsidR="00B24034" w:rsidRDefault="00B24034" w:rsidP="00B24034">
      <w:pPr>
        <w:pStyle w:val="Heading3"/>
      </w:pPr>
      <w:bookmarkStart w:id="10" w:name="_Toc204240451"/>
      <w:bookmarkStart w:id="11" w:name="_Toc213154138"/>
      <w:r>
        <w:t>Saltmarsh Porewater and Estuarine Water Tidal Sample Collection</w:t>
      </w:r>
      <w:bookmarkEnd w:id="10"/>
      <w:bookmarkEnd w:id="11"/>
    </w:p>
    <w:p w14:paraId="79584597" w14:textId="77777777" w:rsidR="00B24034" w:rsidRPr="00142867" w:rsidRDefault="00B24034" w:rsidP="00B24034">
      <w:r w:rsidRPr="00230B3B">
        <w:t xml:space="preserve">In 4 of the 6 quadrats, we extracted porewater samples from one excavated core hole. We used </w:t>
      </w:r>
      <w:proofErr w:type="spellStart"/>
      <w:r w:rsidRPr="00230B3B">
        <w:t>Rhizon</w:t>
      </w:r>
      <w:proofErr w:type="spellEnd"/>
      <w:r w:rsidRPr="00230B3B">
        <w:rPr>
          <w:rFonts w:cs="Arial"/>
        </w:rPr>
        <w:t>™</w:t>
      </w:r>
      <w:r w:rsidRPr="00230B3B">
        <w:t xml:space="preserve"> samplers of approximately 5 cm length, inserted at three depths – approximately 5, 10 and 15 cm. Each </w:t>
      </w:r>
      <w:proofErr w:type="spellStart"/>
      <w:r w:rsidRPr="00230B3B">
        <w:t>Rhizon</w:t>
      </w:r>
      <w:proofErr w:type="spellEnd"/>
      <w:r w:rsidRPr="00230B3B">
        <w:rPr>
          <w:rFonts w:cs="Arial"/>
        </w:rPr>
        <w:t>™</w:t>
      </w:r>
      <w:r w:rsidRPr="00230B3B">
        <w:t xml:space="preserve"> was attached to a syringe to ensure a vacuum and draw for the porewater. Having waited a reasonable amount of time, given tidal and fieldwork constraints, but not less than 20 minutes</w:t>
      </w:r>
      <w:r w:rsidRPr="00142867">
        <w:t>, we collected individual samples into a Falcon tube, with the aim of having at least 2 ml of porewater solution per depth.</w:t>
      </w:r>
      <w:r>
        <w:t xml:space="preserve"> We had difficulty extracting porewater samples from </w:t>
      </w:r>
      <w:proofErr w:type="gramStart"/>
      <w:r>
        <w:t>a number of</w:t>
      </w:r>
      <w:proofErr w:type="gramEnd"/>
      <w:r>
        <w:t xml:space="preserve"> locations; we take this into account in our analysis approach by integrating across depths to provide core-specific concentrations.</w:t>
      </w:r>
      <w:r w:rsidRPr="00142867">
        <w:t xml:space="preserve"> </w:t>
      </w:r>
      <w:r>
        <w:t>Where porewater s</w:t>
      </w:r>
      <w:r w:rsidRPr="00142867">
        <w:t xml:space="preserve">amples </w:t>
      </w:r>
      <w:r>
        <w:t xml:space="preserve">were collected, they were </w:t>
      </w:r>
      <w:r w:rsidRPr="00142867">
        <w:t>kept coo</w:t>
      </w:r>
      <w:r>
        <w:t>l</w:t>
      </w:r>
      <w:r w:rsidRPr="00142867">
        <w:t xml:space="preserve"> until such time they could be analysed at Bangor University laborator</w:t>
      </w:r>
      <w:r>
        <w:t>y i.e. in the same manner as for denitrification cores described above except that at the end of each sampling day they were placed in a refrigerator until transfer to the Bangor University laboratory</w:t>
      </w:r>
      <w:r w:rsidRPr="00142867">
        <w:t xml:space="preserve">. </w:t>
      </w:r>
    </w:p>
    <w:p w14:paraId="4A729DFA" w14:textId="210FC9F2" w:rsidR="00B24034" w:rsidRDefault="00B24034" w:rsidP="00B24034">
      <w:r w:rsidRPr="00142867">
        <w:t>In addition to the porewater, we also collected a</w:t>
      </w:r>
      <w:r>
        <w:t xml:space="preserve"> </w:t>
      </w:r>
      <w:r w:rsidRPr="00142867">
        <w:t xml:space="preserve">tide </w:t>
      </w:r>
      <w:r w:rsidR="00A0326A">
        <w:t xml:space="preserve">water </w:t>
      </w:r>
      <w:r w:rsidRPr="00142867">
        <w:t>sample. Th</w:t>
      </w:r>
      <w:r>
        <w:t>ese</w:t>
      </w:r>
      <w:r w:rsidRPr="00142867">
        <w:t xml:space="preserve"> w</w:t>
      </w:r>
      <w:r>
        <w:t>ere</w:t>
      </w:r>
      <w:r w:rsidRPr="00142867">
        <w:t xml:space="preserve"> sourced from a convenient tidal creek / main estuary channel location, approximately 1 to 2 hours either side of high water.</w:t>
      </w:r>
      <w:r>
        <w:t xml:space="preserve"> These samples were used to characterise the nutrient environment of the saltmarsh, and we used this information when running denitrification samples through the Wetland Hydroperiod Simulator (see </w:t>
      </w:r>
      <w:r w:rsidR="0061649F">
        <w:t>Laboratory analyses</w:t>
      </w:r>
      <w:r>
        <w:t xml:space="preserve"> section).</w:t>
      </w:r>
    </w:p>
    <w:p w14:paraId="05824C5B" w14:textId="77777777" w:rsidR="00667E2D" w:rsidRDefault="00667E2D" w:rsidP="00667E2D">
      <w:pPr>
        <w:pStyle w:val="Heading2"/>
      </w:pPr>
      <w:bookmarkStart w:id="12" w:name="_Toc204240463"/>
      <w:bookmarkStart w:id="13" w:name="_Toc213154139"/>
      <w:r>
        <w:t>Laboratory Analyses</w:t>
      </w:r>
      <w:bookmarkEnd w:id="12"/>
      <w:bookmarkEnd w:id="13"/>
    </w:p>
    <w:p w14:paraId="15E8E30E" w14:textId="77777777" w:rsidR="00667E2D" w:rsidRDefault="00667E2D" w:rsidP="00667E2D">
      <w:pPr>
        <w:pStyle w:val="Heading3"/>
      </w:pPr>
      <w:bookmarkStart w:id="14" w:name="_Toc204240464"/>
      <w:bookmarkStart w:id="15" w:name="_Toc213154140"/>
      <w:r>
        <w:t>Denitrification Dynamics: The Wetland Hydroperiod Simulator Approach</w:t>
      </w:r>
      <w:bookmarkEnd w:id="14"/>
      <w:bookmarkEnd w:id="15"/>
    </w:p>
    <w:p w14:paraId="225B5D30" w14:textId="77777777" w:rsidR="00667E2D" w:rsidRDefault="00667E2D" w:rsidP="00667E2D">
      <w:pPr>
        <w:pStyle w:val="NoSpacing"/>
        <w:rPr>
          <w:rFonts w:cstheme="minorHAnsi"/>
        </w:rPr>
      </w:pPr>
    </w:p>
    <w:p w14:paraId="2612D0C2" w14:textId="738EE087" w:rsidR="00667E2D" w:rsidRPr="008E2B49" w:rsidRDefault="00667E2D" w:rsidP="00667E2D">
      <w:pPr>
        <w:pStyle w:val="NoSpacing"/>
        <w:rPr>
          <w:rFonts w:cstheme="minorHAnsi"/>
          <w:szCs w:val="24"/>
        </w:rPr>
      </w:pPr>
      <w:bookmarkStart w:id="16" w:name="_Hlk193714919"/>
      <w:r w:rsidRPr="008E2B49">
        <w:rPr>
          <w:rFonts w:cstheme="minorHAnsi"/>
          <w:szCs w:val="24"/>
        </w:rPr>
        <w:t xml:space="preserve">Denitrification rates from the whole core samples were analysed using the custom-built Wetland Hydroperiod </w:t>
      </w:r>
      <w:r w:rsidRPr="00F51C52">
        <w:rPr>
          <w:rFonts w:cstheme="minorHAnsi"/>
          <w:szCs w:val="24"/>
        </w:rPr>
        <w:t xml:space="preserve">Simulator (WHS; </w:t>
      </w:r>
      <w:r w:rsidRPr="00F51C52">
        <w:rPr>
          <w:rFonts w:cstheme="minorHAnsi"/>
          <w:szCs w:val="24"/>
          <w:highlight w:val="yellow"/>
        </w:rPr>
        <w:fldChar w:fldCharType="begin"/>
      </w:r>
      <w:r w:rsidRPr="00F51C52">
        <w:rPr>
          <w:rFonts w:cstheme="minorHAnsi"/>
          <w:szCs w:val="24"/>
        </w:rPr>
        <w:instrText xml:space="preserve"> REF _Ref177714202 \h </w:instrText>
      </w:r>
      <w:r>
        <w:rPr>
          <w:rFonts w:cstheme="minorHAnsi"/>
          <w:szCs w:val="24"/>
          <w:highlight w:val="yellow"/>
        </w:rPr>
        <w:instrText xml:space="preserve"> \* MERGEFORMAT </w:instrText>
      </w:r>
      <w:r w:rsidRPr="00F51C52">
        <w:rPr>
          <w:rFonts w:cstheme="minorHAnsi"/>
          <w:szCs w:val="24"/>
          <w:highlight w:val="yellow"/>
        </w:rPr>
      </w:r>
      <w:r w:rsidRPr="00F51C52">
        <w:rPr>
          <w:rFonts w:cstheme="minorHAnsi"/>
          <w:szCs w:val="24"/>
          <w:highlight w:val="yellow"/>
        </w:rPr>
        <w:fldChar w:fldCharType="separate"/>
      </w:r>
      <w:r w:rsidR="00235004" w:rsidRPr="00235004">
        <w:rPr>
          <w:szCs w:val="24"/>
        </w:rPr>
        <w:t xml:space="preserve">Figure </w:t>
      </w:r>
      <w:r w:rsidRPr="00F51C52">
        <w:rPr>
          <w:rFonts w:cstheme="minorHAnsi"/>
          <w:szCs w:val="24"/>
          <w:highlight w:val="yellow"/>
        </w:rPr>
        <w:fldChar w:fldCharType="end"/>
      </w:r>
      <w:r w:rsidR="00681FA9">
        <w:rPr>
          <w:rFonts w:cstheme="minorHAnsi"/>
          <w:szCs w:val="24"/>
        </w:rPr>
        <w:t>2</w:t>
      </w:r>
      <w:r w:rsidRPr="00F51C52">
        <w:rPr>
          <w:rFonts w:cstheme="minorHAnsi"/>
          <w:szCs w:val="24"/>
        </w:rPr>
        <w:t>). Th</w:t>
      </w:r>
      <w:r w:rsidRPr="008E2B49">
        <w:rPr>
          <w:rFonts w:cstheme="minorHAnsi"/>
          <w:szCs w:val="24"/>
        </w:rPr>
        <w:t>e WHS consists of a chamber linked to a water reservoir via a system of pipework. The water reservoir is fitted to a raising platform which can alter the level of water in the cores. This level is controlled by the WHS, using</w:t>
      </w:r>
      <w:r>
        <w:rPr>
          <w:rFonts w:cstheme="minorHAnsi"/>
          <w:szCs w:val="24"/>
        </w:rPr>
        <w:t xml:space="preserve"> </w:t>
      </w:r>
      <w:r w:rsidRPr="008E2B49">
        <w:rPr>
          <w:rFonts w:cstheme="minorHAnsi"/>
          <w:szCs w:val="24"/>
        </w:rPr>
        <w:t>Raspberry Pi</w:t>
      </w:r>
      <w:r>
        <w:rPr>
          <w:rFonts w:cstheme="minorHAnsi"/>
          <w:szCs w:val="24"/>
        </w:rPr>
        <w:t xml:space="preserve"> computing</w:t>
      </w:r>
      <w:r w:rsidRPr="008E2B49">
        <w:rPr>
          <w:rFonts w:cstheme="minorHAnsi"/>
          <w:szCs w:val="24"/>
        </w:rPr>
        <w:t>, coded to simulate the water level changes of a 24-hour neap tide.</w:t>
      </w:r>
    </w:p>
    <w:p w14:paraId="3ADF5F8B" w14:textId="77777777" w:rsidR="00667E2D" w:rsidRDefault="00667E2D" w:rsidP="00667E2D">
      <w:pPr>
        <w:pStyle w:val="NoSpacing"/>
        <w:spacing w:after="160" w:line="259" w:lineRule="auto"/>
        <w:rPr>
          <w:rFonts w:cstheme="minorHAnsi"/>
        </w:rPr>
      </w:pPr>
      <w:r>
        <w:rPr>
          <w:rFonts w:cstheme="minorHAnsi"/>
          <w:noProof/>
        </w:rPr>
        <w:lastRenderedPageBreak/>
        <w:drawing>
          <wp:inline distT="0" distB="0" distL="0" distR="0" wp14:anchorId="77EF4718" wp14:editId="318767BE">
            <wp:extent cx="5731510" cy="3223895"/>
            <wp:effectExtent l="0" t="0" r="2540" b="0"/>
            <wp:docPr id="17423553" name="Picture 1" descr="A close-up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3553" name="Picture 1" descr="A close-up of a machine&#10;&#10;Description automatically generated"/>
                    <pic:cNvPicPr/>
                  </pic:nvPicPr>
                  <pic:blipFill>
                    <a:blip r:embed="rId10">
                      <a:extLst>
                        <a:ext uri="{28A0092B-C50C-407E-A947-70E740481C1C}">
                          <a14:useLocalDpi xmlns:a14="http://schemas.microsoft.com/office/drawing/2010/main" val="0"/>
                        </a:ext>
                      </a:extLst>
                    </a:blip>
                    <a:stretch>
                      <a:fillRect/>
                    </a:stretch>
                  </pic:blipFill>
                  <pic:spPr>
                    <a:xfrm>
                      <a:off x="0" y="0"/>
                      <a:ext cx="5731510" cy="3223895"/>
                    </a:xfrm>
                    <a:prstGeom prst="rect">
                      <a:avLst/>
                    </a:prstGeom>
                  </pic:spPr>
                </pic:pic>
              </a:graphicData>
            </a:graphic>
          </wp:inline>
        </w:drawing>
      </w:r>
    </w:p>
    <w:p w14:paraId="266132C3" w14:textId="3B0596CF" w:rsidR="00667E2D" w:rsidRPr="00807C1A" w:rsidRDefault="00667E2D" w:rsidP="00667E2D">
      <w:pPr>
        <w:pStyle w:val="Caption"/>
        <w:rPr>
          <w:rFonts w:asciiTheme="minorHAnsi" w:hAnsiTheme="minorHAnsi" w:cstheme="minorHAnsi"/>
          <w:sz w:val="20"/>
          <w:szCs w:val="20"/>
        </w:rPr>
      </w:pPr>
      <w:bookmarkStart w:id="17" w:name="_Ref177714202"/>
      <w:r w:rsidRPr="00807C1A">
        <w:rPr>
          <w:sz w:val="20"/>
          <w:szCs w:val="20"/>
        </w:rPr>
        <w:t xml:space="preserve">Figure </w:t>
      </w:r>
      <w:bookmarkEnd w:id="17"/>
      <w:r w:rsidR="00681FA9">
        <w:rPr>
          <w:sz w:val="20"/>
          <w:szCs w:val="20"/>
        </w:rPr>
        <w:t>2</w:t>
      </w:r>
      <w:r>
        <w:rPr>
          <w:sz w:val="20"/>
          <w:szCs w:val="20"/>
        </w:rPr>
        <w:t>:</w:t>
      </w:r>
      <w:r w:rsidRPr="00807C1A">
        <w:rPr>
          <w:rFonts w:asciiTheme="minorHAnsi" w:hAnsiTheme="minorHAnsi" w:cstheme="minorHAnsi"/>
          <w:sz w:val="20"/>
          <w:szCs w:val="20"/>
        </w:rPr>
        <w:t xml:space="preserve"> The components of Bangor University’s Wetland Hydroperiod Simulator (WHS).</w:t>
      </w:r>
    </w:p>
    <w:p w14:paraId="79E51F74" w14:textId="77777777" w:rsidR="00667E2D" w:rsidRDefault="00667E2D" w:rsidP="00667E2D">
      <w:pPr>
        <w:pStyle w:val="NoSpacing"/>
        <w:rPr>
          <w:rFonts w:cstheme="minorHAnsi"/>
        </w:rPr>
      </w:pPr>
    </w:p>
    <w:p w14:paraId="0918EFF6" w14:textId="77777777" w:rsidR="00DA3243" w:rsidRDefault="00667E2D" w:rsidP="00667E2D">
      <w:pPr>
        <w:spacing w:after="0" w:line="240" w:lineRule="auto"/>
      </w:pPr>
      <w:r w:rsidRPr="2CDFE948">
        <w:t>To calculate actual denitrification for one sample, two cores were taken per quadrat, one to undergo acetylene (C</w:t>
      </w:r>
      <w:r w:rsidRPr="2CDFE948">
        <w:rPr>
          <w:vertAlign w:val="subscript"/>
        </w:rPr>
        <w:t>2</w:t>
      </w:r>
      <w:r w:rsidRPr="2CDFE948">
        <w:t>H</w:t>
      </w:r>
      <w:r w:rsidRPr="2CDFE948">
        <w:rPr>
          <w:vertAlign w:val="subscript"/>
        </w:rPr>
        <w:t>2</w:t>
      </w:r>
      <w:r w:rsidRPr="2CDFE948">
        <w:t xml:space="preserve">) inhibition </w:t>
      </w:r>
      <w:r w:rsidRPr="005C7832">
        <w:t xml:space="preserve">and one to act as a control. </w:t>
      </w:r>
    </w:p>
    <w:p w14:paraId="752A5621" w14:textId="77777777" w:rsidR="00667E2D" w:rsidRPr="008E2B49" w:rsidRDefault="00667E2D" w:rsidP="00667E2D">
      <w:pPr>
        <w:spacing w:after="0" w:line="240" w:lineRule="auto"/>
        <w:rPr>
          <w:szCs w:val="24"/>
        </w:rPr>
      </w:pPr>
    </w:p>
    <w:p w14:paraId="79358279" w14:textId="77777777" w:rsidR="00AC2B12" w:rsidRDefault="00667E2D" w:rsidP="00667E2D">
      <w:pPr>
        <w:pStyle w:val="NoSpacing"/>
      </w:pPr>
      <w:r w:rsidRPr="63918613">
        <w:t>Cores were placed in the chambers with a set volume of water (800 ml in a chamber and 1 L in a reservoir), calculated based on the depth of cores and tidal depth required. The nutrient (phosphate, NO</w:t>
      </w:r>
      <w:r w:rsidRPr="63918613">
        <w:rPr>
          <w:vertAlign w:val="subscript"/>
        </w:rPr>
        <w:t>3</w:t>
      </w:r>
      <w:r w:rsidRPr="63918613">
        <w:rPr>
          <w:vertAlign w:val="superscript"/>
        </w:rPr>
        <w:t>-</w:t>
      </w:r>
      <w:r w:rsidRPr="63918613">
        <w:t>, NO</w:t>
      </w:r>
      <w:r w:rsidRPr="63918613">
        <w:rPr>
          <w:vertAlign w:val="subscript"/>
        </w:rPr>
        <w:t>2</w:t>
      </w:r>
      <w:r w:rsidRPr="63918613">
        <w:rPr>
          <w:vertAlign w:val="superscript"/>
        </w:rPr>
        <w:t>-</w:t>
      </w:r>
      <w:r w:rsidRPr="63918613">
        <w:t>, and ammonium (NH</w:t>
      </w:r>
      <w:r w:rsidRPr="63918613">
        <w:rPr>
          <w:vertAlign w:val="subscript"/>
        </w:rPr>
        <w:t>4</w:t>
      </w:r>
      <w:r w:rsidRPr="63918613">
        <w:rPr>
          <w:vertAlign w:val="superscript"/>
        </w:rPr>
        <w:t>+</w:t>
      </w:r>
      <w:r w:rsidRPr="63918613">
        <w:t>)) and ion (chloride (Cl</w:t>
      </w:r>
      <w:r w:rsidRPr="63918613">
        <w:rPr>
          <w:vertAlign w:val="superscript"/>
        </w:rPr>
        <w:t>-</w:t>
      </w:r>
      <w:r w:rsidRPr="63918613">
        <w:t>), sodium (Na</w:t>
      </w:r>
      <w:r w:rsidRPr="63918613">
        <w:rPr>
          <w:vertAlign w:val="superscript"/>
        </w:rPr>
        <w:t>2+</w:t>
      </w:r>
      <w:r w:rsidRPr="63918613">
        <w:t>), potassium (K</w:t>
      </w:r>
      <w:r w:rsidRPr="63918613">
        <w:rPr>
          <w:vertAlign w:val="superscript"/>
        </w:rPr>
        <w:t>+</w:t>
      </w:r>
      <w:r w:rsidRPr="63918613">
        <w:t>), bromide (Br</w:t>
      </w:r>
      <w:r w:rsidRPr="63918613">
        <w:rPr>
          <w:vertAlign w:val="superscript"/>
        </w:rPr>
        <w:t>-</w:t>
      </w:r>
      <w:r w:rsidRPr="63918613">
        <w:t>), magnesium (Mg</w:t>
      </w:r>
      <w:r w:rsidRPr="63918613">
        <w:rPr>
          <w:vertAlign w:val="superscript"/>
        </w:rPr>
        <w:t>3+</w:t>
      </w:r>
      <w:r w:rsidRPr="63918613">
        <w:t>) and calcium (Ca</w:t>
      </w:r>
      <w:r w:rsidRPr="63918613">
        <w:rPr>
          <w:vertAlign w:val="superscript"/>
        </w:rPr>
        <w:t>2+</w:t>
      </w:r>
      <w:r w:rsidRPr="63918613">
        <w:t xml:space="preserve">)) composition of the water was artificially created, with amounts of nutrients and ions informed by the tidal samples collected for the </w:t>
      </w:r>
      <w:r>
        <w:t>coastal habitat</w:t>
      </w:r>
      <w:r w:rsidRPr="63918613">
        <w:t xml:space="preserve"> cores being tested in any given run. In general, flood samples were used to inform conditions in the WHS, as we considered these to supply substrate for denitrification. </w:t>
      </w:r>
    </w:p>
    <w:p w14:paraId="5DDC4CA6" w14:textId="6BAF458A" w:rsidR="00667E2D" w:rsidRPr="00951B00" w:rsidRDefault="00667E2D" w:rsidP="00667E2D">
      <w:pPr>
        <w:pStyle w:val="NoSpacing"/>
        <w:rPr>
          <w:rFonts w:cstheme="minorHAnsi"/>
          <w:szCs w:val="24"/>
        </w:rPr>
      </w:pPr>
      <w:r w:rsidRPr="2E1D4BE3">
        <w:t xml:space="preserve">Chambers were sealed and acetylene chamber atmospheres were then altered to a 0.1 N atmosphere of acetylene. After the chambers were connected to the reservoirs, via the pipework, the water reservoirs for the acetylene chambers were also spiked to a 0.1 N acetylene atmosphere. </w:t>
      </w:r>
      <w:r>
        <w:t xml:space="preserve">The water in both the chambers and reservoirs was flushed with acetylene once filled. </w:t>
      </w:r>
      <w:r w:rsidRPr="2E1D4BE3">
        <w:t>Once all chambers were connected, a 10 mL gas sample was taken and transferred to a 5 mL gas-tight glass container, this was referred to as a Time Zero sample (T0). The WHS then ran a full 24-hour tidal cycle. At the end of this cycle, a second gas sample was taken (T24).</w:t>
      </w:r>
      <w:r>
        <w:t xml:space="preserve"> Temperature was recorded each time a gas sample was taken. Further, the headspace was manually pumped with a syringe prior to taking a gas sample, to avoid underestimating denitrification rates through gas being trapped in soil cores and to ensure that the air was homogenised to avoid density separation. In general, t</w:t>
      </w:r>
      <w:r w:rsidRPr="2E1D4BE3">
        <w:t>he climate conditions in the laboratory were kept as constant as possible from denitrification run to denitrification run</w:t>
      </w:r>
      <w:r>
        <w:t xml:space="preserve">. Given that, we can attribute </w:t>
      </w:r>
      <w:r w:rsidRPr="2E1D4BE3">
        <w:t xml:space="preserve">differences in denitrification rate associated with the cores to </w:t>
      </w:r>
      <w:r>
        <w:t xml:space="preserve">their </w:t>
      </w:r>
      <w:r w:rsidRPr="2E1D4BE3">
        <w:t>characteristics</w:t>
      </w:r>
      <w:r>
        <w:t>,</w:t>
      </w:r>
      <w:r w:rsidRPr="2E1D4BE3">
        <w:t xml:space="preserve"> including the vegetation community from which they were extracted</w:t>
      </w:r>
      <w:r>
        <w:t>,</w:t>
      </w:r>
      <w:r w:rsidRPr="2E1D4BE3">
        <w:t xml:space="preserve"> and the nutrient relationships of the estuarine water</w:t>
      </w:r>
      <w:r w:rsidR="00C95A72">
        <w:t xml:space="preserve">. </w:t>
      </w:r>
    </w:p>
    <w:p w14:paraId="1FEEA7A5" w14:textId="77777777" w:rsidR="00667E2D" w:rsidRDefault="00667E2D" w:rsidP="00667E2D">
      <w:pPr>
        <w:pStyle w:val="Heading3"/>
      </w:pPr>
      <w:bookmarkStart w:id="18" w:name="_Toc204240465"/>
      <w:bookmarkStart w:id="19" w:name="_Toc213154141"/>
      <w:bookmarkEnd w:id="16"/>
      <w:r>
        <w:lastRenderedPageBreak/>
        <w:t>Denitrification Dynamics: Gas Analysis</w:t>
      </w:r>
      <w:bookmarkEnd w:id="18"/>
      <w:bookmarkEnd w:id="19"/>
    </w:p>
    <w:p w14:paraId="21A22169" w14:textId="77777777" w:rsidR="00667E2D" w:rsidRPr="008E2B49" w:rsidRDefault="00667E2D" w:rsidP="00667E2D">
      <w:bookmarkStart w:id="20" w:name="_Hlk193715261"/>
      <w:r w:rsidRPr="7C43E6F5">
        <w:t>Gas samples collected from the tidal core method, were analysed by gas chromatography using a Varian model 450 gas chromatograph (GC) instrument, equipped with an electron capture detector (ECD) for N</w:t>
      </w:r>
      <w:r w:rsidRPr="7C43E6F5">
        <w:rPr>
          <w:vertAlign w:val="subscript"/>
        </w:rPr>
        <w:t>2</w:t>
      </w:r>
      <w:r w:rsidRPr="7C43E6F5">
        <w:t xml:space="preserve">O. Two mL of gas from the gas-tight glass containers (Exetainers®) containing the samples was injected via a 1041 on-column injector system, set at 40⁰C, onto a </w:t>
      </w:r>
      <w:proofErr w:type="spellStart"/>
      <w:r w:rsidRPr="7C43E6F5">
        <w:t>PoroPak</w:t>
      </w:r>
      <w:proofErr w:type="spellEnd"/>
      <w:r w:rsidRPr="7C43E6F5">
        <w:t xml:space="preserve"> QS (1.83 m x 3.18 mm) 80/100 column. The septum of this system was changed after approximately 500 injections. The column oven temperature was set to 40⁰C and the carrier gas, oxygen-free nitrogen, had a flow rate of 30 mL min</w:t>
      </w:r>
      <w:r w:rsidRPr="7C43E6F5">
        <w:rPr>
          <w:vertAlign w:val="superscript"/>
        </w:rPr>
        <w:t>-1</w:t>
      </w:r>
      <w:r w:rsidRPr="7C43E6F5">
        <w:t>. The temperature of the ECD was 340⁰</w:t>
      </w:r>
      <w:r w:rsidRPr="00AE1E33">
        <w:t>C with a constant flow of 20 mL min</w:t>
      </w:r>
      <w:r w:rsidRPr="00AE1E33">
        <w:rPr>
          <w:vertAlign w:val="superscript"/>
        </w:rPr>
        <w:t>-1</w:t>
      </w:r>
      <w:r w:rsidRPr="00AE1E33">
        <w:t xml:space="preserve"> of oxygen-free nitrogen. Injection of the samples was achieved with a Combi PAL headspace auto-sampler (CTC Analytics, </w:t>
      </w:r>
      <w:proofErr w:type="spellStart"/>
      <w:r w:rsidRPr="00AE1E33">
        <w:t>Zwingen</w:t>
      </w:r>
      <w:proofErr w:type="spellEnd"/>
      <w:r w:rsidRPr="00AE1E33">
        <w:t>, Switzerland) equipped with a 5 mL syringe and specially constructed trays for holding 50 individual 5.9 mL Exetainers®. N</w:t>
      </w:r>
      <w:r w:rsidRPr="00AE1E33">
        <w:rPr>
          <w:vertAlign w:val="subscript"/>
        </w:rPr>
        <w:t>2</w:t>
      </w:r>
      <w:r w:rsidRPr="00AE1E33">
        <w:t xml:space="preserve">O (retention time 3.26 minutes) was quantified by comparison of peak area with that of four standards of known concentration (0.3, 1.5, 5 and 40 ppm), prepared by BOC (an industrial gases company) and used in the preparation of a standard curve, which </w:t>
      </w:r>
      <w:r>
        <w:rPr>
          <w:rFonts w:cstheme="minorHAnsi"/>
        </w:rPr>
        <w:t>—</w:t>
      </w:r>
      <w:r w:rsidRPr="00AE1E33">
        <w:t xml:space="preserve"> according to standard laboratory protocol </w:t>
      </w:r>
      <w:r>
        <w:rPr>
          <w:rFonts w:cstheme="minorHAnsi"/>
        </w:rPr>
        <w:t xml:space="preserve">— </w:t>
      </w:r>
      <w:r w:rsidRPr="00AE1E33">
        <w:t>was only accepted if the correlation coefficient</w:t>
      </w:r>
      <w:r w:rsidRPr="7C43E6F5">
        <w:t xml:space="preserve"> (R</w:t>
      </w:r>
      <w:r w:rsidRPr="7C43E6F5">
        <w:rPr>
          <w:vertAlign w:val="superscript"/>
        </w:rPr>
        <w:t>2</w:t>
      </w:r>
      <w:r w:rsidRPr="7C43E6F5">
        <w:t>) value was greater than 0.98; indicating the strongest relationship between the variables.</w:t>
      </w:r>
      <w:bookmarkEnd w:id="20"/>
    </w:p>
    <w:p w14:paraId="63E88306" w14:textId="77777777" w:rsidR="00667E2D" w:rsidRDefault="00667E2D" w:rsidP="00667E2D">
      <w:pPr>
        <w:pStyle w:val="Heading3"/>
      </w:pPr>
      <w:bookmarkStart w:id="21" w:name="_Toc204240466"/>
      <w:bookmarkStart w:id="22" w:name="_Toc213154142"/>
      <w:r>
        <w:t>Denitrification Dynamics: Calculation of Potential Denitrification Rates</w:t>
      </w:r>
      <w:bookmarkEnd w:id="21"/>
      <w:bookmarkEnd w:id="22"/>
    </w:p>
    <w:p w14:paraId="69F75AC3" w14:textId="77777777" w:rsidR="00667E2D" w:rsidRPr="008E2B49" w:rsidRDefault="00667E2D" w:rsidP="00667E2D">
      <w:pPr>
        <w:spacing w:after="0" w:line="240" w:lineRule="auto"/>
        <w:rPr>
          <w:rFonts w:cstheme="minorHAnsi"/>
          <w:szCs w:val="24"/>
        </w:rPr>
      </w:pPr>
      <w:bookmarkStart w:id="23" w:name="_Hlk193715287"/>
      <w:r w:rsidRPr="008E2B49">
        <w:rPr>
          <w:rFonts w:cstheme="minorHAnsi"/>
          <w:szCs w:val="24"/>
        </w:rPr>
        <w:t>We used the following set of equations to calculate denitrification rate:</w:t>
      </w:r>
    </w:p>
    <w:p w14:paraId="5161E605" w14:textId="77777777" w:rsidR="00667E2D" w:rsidRPr="008E2B49" w:rsidRDefault="00667E2D" w:rsidP="00667E2D">
      <w:pPr>
        <w:spacing w:after="0" w:line="240" w:lineRule="auto"/>
        <w:rPr>
          <w:rFonts w:cstheme="minorHAnsi"/>
          <w:szCs w:val="24"/>
        </w:rPr>
      </w:pPr>
    </w:p>
    <w:p w14:paraId="33C23F55" w14:textId="77777777" w:rsidR="00667E2D" w:rsidRPr="008E2B49" w:rsidRDefault="00667E2D" w:rsidP="00667E2D">
      <w:pPr>
        <w:spacing w:after="0" w:line="240" w:lineRule="auto"/>
        <w:rPr>
          <w:rFonts w:cstheme="minorHAnsi"/>
          <w:szCs w:val="24"/>
        </w:rPr>
      </w:pPr>
      <m:oMath>
        <m:r>
          <w:rPr>
            <w:rFonts w:ascii="Cambria Math" w:eastAsiaTheme="minorEastAsia" w:hAnsi="Cambria Math" w:cstheme="minorHAnsi"/>
            <w:szCs w:val="24"/>
          </w:rPr>
          <m:t xml:space="preserve">DR </m:t>
        </m:r>
        <m:d>
          <m:dPr>
            <m:ctrlPr>
              <w:rPr>
                <w:rFonts w:ascii="Cambria Math" w:eastAsiaTheme="minorEastAsia" w:hAnsi="Cambria Math" w:cstheme="minorHAnsi"/>
                <w:i/>
                <w:szCs w:val="24"/>
              </w:rPr>
            </m:ctrlPr>
          </m:dPr>
          <m:e>
            <m:r>
              <w:rPr>
                <w:rFonts w:ascii="Cambria Math" w:eastAsiaTheme="minorEastAsia" w:hAnsi="Cambria Math" w:cstheme="minorHAnsi"/>
                <w:szCs w:val="24"/>
              </w:rPr>
              <m:t xml:space="preserve">mg </m:t>
            </m:r>
            <m:sSup>
              <m:sSupPr>
                <m:ctrlPr>
                  <w:rPr>
                    <w:rFonts w:ascii="Cambria Math" w:eastAsiaTheme="minorEastAsia" w:hAnsi="Cambria Math" w:cstheme="minorHAnsi"/>
                    <w:i/>
                    <w:szCs w:val="24"/>
                  </w:rPr>
                </m:ctrlPr>
              </m:sSupPr>
              <m:e>
                <m:r>
                  <w:rPr>
                    <w:rFonts w:ascii="Cambria Math" w:eastAsiaTheme="minorEastAsia" w:hAnsi="Cambria Math" w:cstheme="minorHAnsi"/>
                    <w:szCs w:val="24"/>
                  </w:rPr>
                  <m:t>m</m:t>
                </m:r>
              </m:e>
              <m:sup>
                <m:r>
                  <w:rPr>
                    <w:rFonts w:ascii="Cambria Math" w:eastAsiaTheme="minorEastAsia" w:hAnsi="Cambria Math" w:cstheme="minorHAnsi"/>
                    <w:szCs w:val="24"/>
                  </w:rPr>
                  <m:t>-2</m:t>
                </m:r>
              </m:sup>
            </m:sSup>
            <m:sSup>
              <m:sSupPr>
                <m:ctrlPr>
                  <w:rPr>
                    <w:rFonts w:ascii="Cambria Math" w:eastAsiaTheme="minorEastAsia" w:hAnsi="Cambria Math" w:cstheme="minorHAnsi"/>
                    <w:i/>
                    <w:szCs w:val="24"/>
                  </w:rPr>
                </m:ctrlPr>
              </m:sSupPr>
              <m:e>
                <m:r>
                  <w:rPr>
                    <w:rFonts w:ascii="Cambria Math" w:eastAsiaTheme="minorEastAsia" w:hAnsi="Cambria Math" w:cstheme="minorHAnsi"/>
                    <w:szCs w:val="24"/>
                  </w:rPr>
                  <m:t>s</m:t>
                </m:r>
              </m:e>
              <m:sup>
                <m:r>
                  <w:rPr>
                    <w:rFonts w:ascii="Cambria Math" w:eastAsiaTheme="minorEastAsia" w:hAnsi="Cambria Math" w:cstheme="minorHAnsi"/>
                    <w:szCs w:val="24"/>
                  </w:rPr>
                  <m:t>-1</m:t>
                </m:r>
              </m:sup>
            </m:sSup>
          </m:e>
        </m:d>
        <m:r>
          <w:rPr>
            <w:rFonts w:ascii="Cambria Math" w:eastAsiaTheme="minorEastAsia" w:hAnsi="Cambria Math" w:cstheme="minorHAnsi"/>
            <w:szCs w:val="24"/>
          </w:rPr>
          <m:t>=</m:t>
        </m:r>
        <m:f>
          <m:fPr>
            <m:ctrlPr>
              <w:rPr>
                <w:rFonts w:ascii="Cambria Math" w:eastAsiaTheme="minorEastAsia" w:hAnsi="Cambria Math" w:cstheme="minorHAnsi"/>
                <w:i/>
                <w:szCs w:val="24"/>
              </w:rPr>
            </m:ctrlPr>
          </m:fPr>
          <m:num>
            <m:r>
              <w:rPr>
                <w:rFonts w:ascii="Cambria Math" w:eastAsiaTheme="minorEastAsia" w:hAnsi="Cambria Math" w:cstheme="minorHAnsi"/>
                <w:szCs w:val="24"/>
              </w:rPr>
              <m:t>TNP</m:t>
            </m:r>
          </m:num>
          <m:den>
            <m:r>
              <w:rPr>
                <w:rFonts w:ascii="Cambria Math" w:eastAsiaTheme="minorEastAsia" w:hAnsi="Cambria Math" w:cstheme="minorHAnsi"/>
                <w:szCs w:val="24"/>
              </w:rPr>
              <m:t>δt</m:t>
            </m:r>
          </m:den>
        </m:f>
        <m:r>
          <w:rPr>
            <w:rFonts w:ascii="Cambria Math" w:eastAsiaTheme="minorEastAsia" w:hAnsi="Cambria Math" w:cstheme="minorHAnsi"/>
            <w:szCs w:val="24"/>
          </w:rPr>
          <m:t>×(</m:t>
        </m:r>
        <m:f>
          <m:fPr>
            <m:ctrlPr>
              <w:rPr>
                <w:rFonts w:ascii="Cambria Math" w:eastAsiaTheme="minorEastAsia" w:hAnsi="Cambria Math" w:cstheme="minorHAnsi"/>
                <w:i/>
                <w:szCs w:val="24"/>
              </w:rPr>
            </m:ctrlPr>
          </m:fPr>
          <m:num>
            <m:r>
              <w:rPr>
                <w:rFonts w:ascii="Cambria Math" w:eastAsiaTheme="minorEastAsia" w:hAnsi="Cambria Math" w:cstheme="minorHAnsi"/>
                <w:szCs w:val="24"/>
              </w:rPr>
              <m:t>V×M</m:t>
            </m:r>
          </m:num>
          <m:den>
            <m:r>
              <w:rPr>
                <w:rFonts w:ascii="Cambria Math" w:eastAsiaTheme="minorEastAsia" w:hAnsi="Cambria Math" w:cstheme="minorHAnsi"/>
                <w:szCs w:val="24"/>
              </w:rPr>
              <m:t>S×</m:t>
            </m:r>
            <m:sSub>
              <m:sSubPr>
                <m:ctrlPr>
                  <w:rPr>
                    <w:rFonts w:ascii="Cambria Math" w:eastAsiaTheme="minorEastAsia" w:hAnsi="Cambria Math" w:cstheme="minorHAnsi"/>
                    <w:i/>
                    <w:szCs w:val="24"/>
                  </w:rPr>
                </m:ctrlPr>
              </m:sSubPr>
              <m:e>
                <m:r>
                  <w:rPr>
                    <w:rFonts w:ascii="Cambria Math" w:eastAsiaTheme="minorEastAsia" w:hAnsi="Cambria Math" w:cstheme="minorHAnsi"/>
                    <w:szCs w:val="24"/>
                  </w:rPr>
                  <m:t>V</m:t>
                </m:r>
              </m:e>
              <m:sub>
                <m:r>
                  <w:rPr>
                    <w:rFonts w:ascii="Cambria Math" w:eastAsiaTheme="minorEastAsia" w:hAnsi="Cambria Math" w:cstheme="minorHAnsi"/>
                    <w:szCs w:val="24"/>
                  </w:rPr>
                  <m:t>mol</m:t>
                </m:r>
              </m:sub>
            </m:sSub>
          </m:den>
        </m:f>
        <m:r>
          <w:rPr>
            <w:rFonts w:ascii="Cambria Math" w:eastAsiaTheme="minorEastAsia" w:hAnsi="Cambria Math" w:cstheme="minorHAnsi"/>
            <w:szCs w:val="24"/>
          </w:rPr>
          <m:t>)</m:t>
        </m:r>
      </m:oMath>
      <w:r w:rsidRPr="008E2B49">
        <w:rPr>
          <w:rFonts w:eastAsiaTheme="minorEastAsia" w:cstheme="minorHAnsi"/>
          <w:szCs w:val="24"/>
        </w:rPr>
        <w:tab/>
      </w:r>
      <w:r w:rsidRPr="008E2B49">
        <w:rPr>
          <w:rFonts w:eastAsiaTheme="minorEastAsia" w:cstheme="minorHAnsi"/>
          <w:szCs w:val="24"/>
        </w:rPr>
        <w:tab/>
      </w:r>
      <w:r w:rsidRPr="008E2B49">
        <w:rPr>
          <w:rFonts w:eastAsiaTheme="minorEastAsia" w:cstheme="minorHAnsi"/>
          <w:szCs w:val="24"/>
        </w:rPr>
        <w:tab/>
      </w:r>
      <w:r w:rsidRPr="008E2B49">
        <w:rPr>
          <w:rFonts w:eastAsiaTheme="minorEastAsia" w:cstheme="minorHAnsi"/>
          <w:szCs w:val="24"/>
        </w:rPr>
        <w:tab/>
      </w:r>
      <w:r w:rsidRPr="008E2B49">
        <w:rPr>
          <w:rFonts w:eastAsiaTheme="minorEastAsia" w:cstheme="minorHAnsi"/>
          <w:szCs w:val="24"/>
        </w:rPr>
        <w:tab/>
      </w:r>
      <w:r w:rsidRPr="008E2B49">
        <w:rPr>
          <w:rFonts w:eastAsiaTheme="minorEastAsia" w:cstheme="minorHAnsi"/>
          <w:b/>
          <w:bCs/>
          <w:szCs w:val="24"/>
        </w:rPr>
        <w:t>Equation [1]</w:t>
      </w:r>
    </w:p>
    <w:p w14:paraId="3E0480D6" w14:textId="77777777" w:rsidR="00667E2D" w:rsidRPr="008E2B49" w:rsidRDefault="00667E2D" w:rsidP="00667E2D">
      <w:pPr>
        <w:spacing w:after="0" w:line="240" w:lineRule="auto"/>
        <w:rPr>
          <w:rFonts w:cstheme="minorHAnsi"/>
          <w:szCs w:val="24"/>
        </w:rPr>
      </w:pPr>
    </w:p>
    <w:p w14:paraId="4DCF6D3B" w14:textId="77777777" w:rsidR="00667E2D" w:rsidRPr="008E2B49" w:rsidRDefault="00667E2D" w:rsidP="00667E2D">
      <w:pPr>
        <w:spacing w:after="0" w:line="240" w:lineRule="auto"/>
        <w:rPr>
          <w:rFonts w:cstheme="minorHAnsi"/>
          <w:szCs w:val="24"/>
        </w:rPr>
      </w:pPr>
      <w:r w:rsidRPr="008E2B49">
        <w:rPr>
          <w:rFonts w:cstheme="minorHAnsi"/>
          <w:szCs w:val="24"/>
        </w:rPr>
        <w:t xml:space="preserve">where: </w:t>
      </w:r>
    </w:p>
    <w:p w14:paraId="299E41F5" w14:textId="77777777" w:rsidR="00667E2D" w:rsidRPr="001510A4" w:rsidRDefault="00667E2D" w:rsidP="00667E2D">
      <w:pPr>
        <w:pStyle w:val="ListParagraph"/>
        <w:numPr>
          <w:ilvl w:val="0"/>
          <w:numId w:val="3"/>
        </w:numPr>
        <w:spacing w:after="0" w:line="240" w:lineRule="auto"/>
      </w:pPr>
      <w:r w:rsidRPr="19DEE6EB">
        <w:rPr>
          <w:i/>
        </w:rPr>
        <w:t>DR</w:t>
      </w:r>
      <w:r w:rsidRPr="19DEE6EB">
        <w:t xml:space="preserve">: Denitrification rate </w:t>
      </w:r>
      <w:r w:rsidRPr="001510A4">
        <w:t>(mg N</w:t>
      </w:r>
      <w:r w:rsidRPr="001510A4">
        <w:rPr>
          <w:vertAlign w:val="subscript"/>
        </w:rPr>
        <w:t>2</w:t>
      </w:r>
      <w:r w:rsidRPr="001510A4">
        <w:t>O m</w:t>
      </w:r>
      <w:r w:rsidRPr="001510A4">
        <w:rPr>
          <w:vertAlign w:val="superscript"/>
        </w:rPr>
        <w:t>-2</w:t>
      </w:r>
      <w:r w:rsidRPr="001510A4">
        <w:t xml:space="preserve"> s</w:t>
      </w:r>
      <w:r w:rsidRPr="001510A4">
        <w:rPr>
          <w:vertAlign w:val="superscript"/>
        </w:rPr>
        <w:t>-1</w:t>
      </w:r>
      <w:r w:rsidRPr="001510A4">
        <w:t>)</w:t>
      </w:r>
    </w:p>
    <w:p w14:paraId="37551F75" w14:textId="77777777" w:rsidR="00667E2D" w:rsidRPr="008E2B49" w:rsidRDefault="00667E2D" w:rsidP="00667E2D">
      <w:pPr>
        <w:pStyle w:val="ListParagraph"/>
        <w:numPr>
          <w:ilvl w:val="0"/>
          <w:numId w:val="3"/>
        </w:numPr>
        <w:spacing w:after="0" w:line="240" w:lineRule="auto"/>
        <w:rPr>
          <w:rFonts w:cstheme="minorHAnsi"/>
          <w:szCs w:val="24"/>
        </w:rPr>
      </w:pPr>
      <w:r w:rsidRPr="008E2B49">
        <w:rPr>
          <w:rFonts w:cstheme="minorHAnsi"/>
          <w:i/>
          <w:iCs/>
          <w:szCs w:val="24"/>
        </w:rPr>
        <w:t>TNP</w:t>
      </w:r>
      <w:r w:rsidRPr="008E2B49">
        <w:rPr>
          <w:rFonts w:cstheme="minorHAnsi"/>
          <w:szCs w:val="24"/>
        </w:rPr>
        <w:t>: Total N</w:t>
      </w:r>
      <w:r w:rsidRPr="008E2B49">
        <w:rPr>
          <w:rFonts w:cstheme="minorHAnsi"/>
          <w:szCs w:val="24"/>
          <w:vertAlign w:val="subscript"/>
        </w:rPr>
        <w:t>2</w:t>
      </w:r>
      <w:r w:rsidRPr="008E2B49">
        <w:rPr>
          <w:rFonts w:cstheme="minorHAnsi"/>
          <w:szCs w:val="24"/>
        </w:rPr>
        <w:t>O produced (mg)</w:t>
      </w:r>
    </w:p>
    <w:p w14:paraId="57A4A1F8" w14:textId="77777777" w:rsidR="00667E2D" w:rsidRPr="008E2B49" w:rsidRDefault="00667E2D" w:rsidP="00667E2D">
      <w:pPr>
        <w:pStyle w:val="ListParagraph"/>
        <w:numPr>
          <w:ilvl w:val="0"/>
          <w:numId w:val="3"/>
        </w:numPr>
        <w:spacing w:after="0" w:line="240" w:lineRule="auto"/>
        <w:rPr>
          <w:rFonts w:cstheme="minorHAnsi"/>
          <w:szCs w:val="24"/>
        </w:rPr>
      </w:pPr>
      <w:proofErr w:type="spellStart"/>
      <w:r w:rsidRPr="008E2B49">
        <w:rPr>
          <w:rFonts w:cstheme="minorHAnsi"/>
          <w:i/>
          <w:iCs/>
          <w:szCs w:val="24"/>
        </w:rPr>
        <w:t>δt</w:t>
      </w:r>
      <w:proofErr w:type="spellEnd"/>
      <w:r w:rsidRPr="008E2B49">
        <w:rPr>
          <w:rFonts w:cstheme="minorHAnsi"/>
          <w:szCs w:val="24"/>
        </w:rPr>
        <w:t>: Change in time between first and second measurement (seconds (s))</w:t>
      </w:r>
    </w:p>
    <w:p w14:paraId="61E69875" w14:textId="77777777" w:rsidR="00667E2D" w:rsidRPr="008E2B49" w:rsidRDefault="00667E2D" w:rsidP="00667E2D">
      <w:pPr>
        <w:pStyle w:val="ListParagraph"/>
        <w:numPr>
          <w:ilvl w:val="0"/>
          <w:numId w:val="3"/>
        </w:numPr>
        <w:spacing w:after="0" w:line="240" w:lineRule="auto"/>
        <w:rPr>
          <w:rFonts w:cstheme="minorHAnsi"/>
          <w:szCs w:val="24"/>
        </w:rPr>
      </w:pPr>
      <w:r w:rsidRPr="008E2B49">
        <w:rPr>
          <w:rFonts w:cstheme="minorHAnsi"/>
          <w:i/>
          <w:iCs/>
          <w:szCs w:val="24"/>
        </w:rPr>
        <w:t>V</w:t>
      </w:r>
      <w:r w:rsidRPr="008E2B49">
        <w:rPr>
          <w:rFonts w:cstheme="minorHAnsi"/>
          <w:szCs w:val="24"/>
        </w:rPr>
        <w:t>: Volume of headspace in chamber (m</w:t>
      </w:r>
      <w:r w:rsidRPr="008E2B49">
        <w:rPr>
          <w:rFonts w:cstheme="minorHAnsi"/>
          <w:szCs w:val="24"/>
          <w:vertAlign w:val="superscript"/>
        </w:rPr>
        <w:t>3</w:t>
      </w:r>
      <w:r w:rsidRPr="008E2B49">
        <w:rPr>
          <w:rFonts w:cstheme="minorHAnsi"/>
          <w:szCs w:val="24"/>
        </w:rPr>
        <w:t>)</w:t>
      </w:r>
    </w:p>
    <w:p w14:paraId="6673B9E3" w14:textId="77777777" w:rsidR="00667E2D" w:rsidRPr="008E2B49" w:rsidRDefault="00667E2D" w:rsidP="00667E2D">
      <w:pPr>
        <w:pStyle w:val="ListParagraph"/>
        <w:numPr>
          <w:ilvl w:val="0"/>
          <w:numId w:val="3"/>
        </w:numPr>
        <w:spacing w:after="0" w:line="240" w:lineRule="auto"/>
        <w:rPr>
          <w:rFonts w:cstheme="minorHAnsi"/>
          <w:szCs w:val="24"/>
        </w:rPr>
      </w:pPr>
      <w:r w:rsidRPr="008E2B49">
        <w:rPr>
          <w:rFonts w:cstheme="minorHAnsi"/>
          <w:i/>
          <w:iCs/>
          <w:szCs w:val="24"/>
        </w:rPr>
        <w:t>M</w:t>
      </w:r>
      <w:r w:rsidRPr="008E2B49">
        <w:rPr>
          <w:rFonts w:cstheme="minorHAnsi"/>
          <w:szCs w:val="24"/>
        </w:rPr>
        <w:t>: Molecular weight of gas (mol)</w:t>
      </w:r>
    </w:p>
    <w:p w14:paraId="00AF1D33" w14:textId="77777777" w:rsidR="00667E2D" w:rsidRPr="008E2B49" w:rsidRDefault="00667E2D" w:rsidP="00667E2D">
      <w:pPr>
        <w:pStyle w:val="ListParagraph"/>
        <w:numPr>
          <w:ilvl w:val="0"/>
          <w:numId w:val="3"/>
        </w:numPr>
        <w:spacing w:after="0" w:line="240" w:lineRule="auto"/>
        <w:rPr>
          <w:rFonts w:cstheme="minorHAnsi"/>
          <w:szCs w:val="24"/>
        </w:rPr>
      </w:pPr>
      <w:r w:rsidRPr="008E2B49">
        <w:rPr>
          <w:rFonts w:cstheme="minorHAnsi"/>
          <w:i/>
          <w:iCs/>
          <w:szCs w:val="24"/>
        </w:rPr>
        <w:t>S</w:t>
      </w:r>
      <w:r w:rsidRPr="008E2B49">
        <w:rPr>
          <w:rFonts w:cstheme="minorHAnsi"/>
          <w:szCs w:val="24"/>
        </w:rPr>
        <w:t>: Area of core (m</w:t>
      </w:r>
      <w:r w:rsidRPr="008E2B49">
        <w:rPr>
          <w:rFonts w:cstheme="minorHAnsi"/>
          <w:szCs w:val="24"/>
          <w:vertAlign w:val="superscript"/>
        </w:rPr>
        <w:t>2</w:t>
      </w:r>
      <w:r w:rsidRPr="008E2B49">
        <w:rPr>
          <w:rFonts w:cstheme="minorHAnsi"/>
          <w:szCs w:val="24"/>
        </w:rPr>
        <w:t>)</w:t>
      </w:r>
    </w:p>
    <w:p w14:paraId="58FFD7F0" w14:textId="77777777" w:rsidR="00667E2D" w:rsidRPr="008E2B49" w:rsidRDefault="00667E2D" w:rsidP="00667E2D">
      <w:pPr>
        <w:pStyle w:val="ListParagraph"/>
        <w:numPr>
          <w:ilvl w:val="0"/>
          <w:numId w:val="3"/>
        </w:numPr>
        <w:spacing w:after="0" w:line="240" w:lineRule="auto"/>
        <w:rPr>
          <w:rFonts w:cstheme="minorHAnsi"/>
          <w:szCs w:val="24"/>
        </w:rPr>
      </w:pPr>
      <w:proofErr w:type="spellStart"/>
      <w:r w:rsidRPr="008E2B49">
        <w:rPr>
          <w:rFonts w:cstheme="minorHAnsi"/>
          <w:i/>
          <w:iCs/>
          <w:szCs w:val="24"/>
        </w:rPr>
        <w:t>V</w:t>
      </w:r>
      <w:r w:rsidRPr="008E2B49">
        <w:rPr>
          <w:rFonts w:cstheme="minorHAnsi"/>
          <w:i/>
          <w:iCs/>
          <w:szCs w:val="24"/>
          <w:vertAlign w:val="subscript"/>
        </w:rPr>
        <w:t>mol</w:t>
      </w:r>
      <w:proofErr w:type="spellEnd"/>
      <w:r w:rsidRPr="008E2B49">
        <w:rPr>
          <w:rFonts w:cstheme="minorHAnsi"/>
          <w:szCs w:val="24"/>
        </w:rPr>
        <w:t>: Volume of a mol of gas at a given temperature (m</w:t>
      </w:r>
      <w:r w:rsidRPr="008E2B49">
        <w:rPr>
          <w:rFonts w:cstheme="minorHAnsi"/>
          <w:szCs w:val="24"/>
          <w:vertAlign w:val="superscript"/>
        </w:rPr>
        <w:t>3</w:t>
      </w:r>
      <w:r w:rsidRPr="008E2B49">
        <w:rPr>
          <w:rFonts w:cstheme="minorHAnsi"/>
          <w:szCs w:val="24"/>
        </w:rPr>
        <w:t xml:space="preserve"> mol</w:t>
      </w:r>
      <w:r w:rsidRPr="008E2B49">
        <w:rPr>
          <w:rFonts w:cstheme="minorHAnsi"/>
          <w:szCs w:val="24"/>
          <w:vertAlign w:val="superscript"/>
        </w:rPr>
        <w:t>-1</w:t>
      </w:r>
      <w:r w:rsidRPr="008E2B49">
        <w:rPr>
          <w:rFonts w:cstheme="minorHAnsi"/>
          <w:szCs w:val="24"/>
        </w:rPr>
        <w:t>)</w:t>
      </w:r>
    </w:p>
    <w:p w14:paraId="6A0BE4AF" w14:textId="77777777" w:rsidR="00667E2D" w:rsidRPr="008E2B49" w:rsidRDefault="00667E2D" w:rsidP="00667E2D">
      <w:pPr>
        <w:spacing w:after="0" w:line="240" w:lineRule="auto"/>
        <w:contextualSpacing/>
        <w:rPr>
          <w:rFonts w:cstheme="minorHAnsi"/>
          <w:szCs w:val="24"/>
        </w:rPr>
      </w:pPr>
    </w:p>
    <w:p w14:paraId="6550F25A" w14:textId="77777777" w:rsidR="00667E2D" w:rsidRPr="008E2B49" w:rsidRDefault="00667E2D" w:rsidP="00667E2D">
      <w:pPr>
        <w:spacing w:after="0" w:line="240" w:lineRule="auto"/>
        <w:contextualSpacing/>
        <w:rPr>
          <w:rFonts w:cstheme="minorHAnsi"/>
          <w:szCs w:val="24"/>
        </w:rPr>
      </w:pPr>
      <w:r w:rsidRPr="008E2B49">
        <w:rPr>
          <w:rFonts w:cstheme="minorHAnsi"/>
          <w:szCs w:val="24"/>
        </w:rPr>
        <w:t xml:space="preserve">where </w:t>
      </w:r>
      <w:proofErr w:type="spellStart"/>
      <w:r w:rsidRPr="008E2B49">
        <w:rPr>
          <w:rFonts w:cstheme="minorHAnsi"/>
          <w:i/>
          <w:iCs/>
          <w:szCs w:val="24"/>
        </w:rPr>
        <w:t>V</w:t>
      </w:r>
      <w:r w:rsidRPr="008E2B49">
        <w:rPr>
          <w:rFonts w:cstheme="minorHAnsi"/>
          <w:i/>
          <w:iCs/>
          <w:szCs w:val="24"/>
          <w:vertAlign w:val="subscript"/>
        </w:rPr>
        <w:t>mol</w:t>
      </w:r>
      <w:proofErr w:type="spellEnd"/>
      <w:r w:rsidRPr="008E2B49">
        <w:rPr>
          <w:rFonts w:cstheme="minorHAnsi"/>
          <w:szCs w:val="24"/>
        </w:rPr>
        <w:t xml:space="preserve"> is given by:</w:t>
      </w:r>
    </w:p>
    <w:p w14:paraId="6D6E4C4C" w14:textId="77777777" w:rsidR="00667E2D" w:rsidRPr="008E2B49" w:rsidRDefault="00667E2D" w:rsidP="00667E2D">
      <w:pPr>
        <w:spacing w:after="0" w:line="240" w:lineRule="auto"/>
        <w:contextualSpacing/>
        <w:rPr>
          <w:rFonts w:cstheme="minorHAnsi"/>
          <w:szCs w:val="24"/>
        </w:rPr>
      </w:pPr>
    </w:p>
    <w:p w14:paraId="3B71E523" w14:textId="77777777" w:rsidR="00667E2D" w:rsidRPr="008E2B49" w:rsidRDefault="008A7351" w:rsidP="00667E2D">
      <w:pPr>
        <w:spacing w:after="0" w:line="240" w:lineRule="auto"/>
        <w:rPr>
          <w:rFonts w:eastAsiaTheme="minorEastAsia" w:cstheme="minorHAnsi"/>
          <w:szCs w:val="24"/>
        </w:rPr>
      </w:pPr>
      <m:oMath>
        <m:sSub>
          <m:sSubPr>
            <m:ctrlPr>
              <w:rPr>
                <w:rFonts w:ascii="Cambria Math" w:hAnsi="Cambria Math" w:cstheme="minorHAnsi"/>
                <w:i/>
                <w:szCs w:val="24"/>
              </w:rPr>
            </m:ctrlPr>
          </m:sSubPr>
          <m:e>
            <m:r>
              <w:rPr>
                <w:rFonts w:ascii="Cambria Math" w:hAnsi="Cambria Math" w:cstheme="minorHAnsi"/>
                <w:szCs w:val="24"/>
              </w:rPr>
              <m:t>V</m:t>
            </m:r>
          </m:e>
          <m:sub>
            <m:r>
              <w:rPr>
                <w:rFonts w:ascii="Cambria Math" w:hAnsi="Cambria Math" w:cstheme="minorHAnsi"/>
                <w:szCs w:val="24"/>
              </w:rPr>
              <m:t>mol</m:t>
            </m:r>
          </m:sub>
        </m:sSub>
        <m:r>
          <w:rPr>
            <w:rFonts w:ascii="Cambria Math" w:hAnsi="Cambria Math" w:cstheme="minorHAnsi"/>
            <w:szCs w:val="24"/>
          </w:rPr>
          <m:t>=p×(R×K)</m:t>
        </m:r>
      </m:oMath>
      <w:r w:rsidR="00667E2D" w:rsidRPr="008E2B49">
        <w:rPr>
          <w:rFonts w:eastAsiaTheme="minorEastAsia" w:cstheme="minorHAnsi"/>
          <w:szCs w:val="24"/>
        </w:rPr>
        <w:tab/>
      </w:r>
      <w:r w:rsidR="00667E2D" w:rsidRPr="008E2B49">
        <w:rPr>
          <w:rFonts w:eastAsiaTheme="minorEastAsia" w:cstheme="minorHAnsi"/>
          <w:szCs w:val="24"/>
        </w:rPr>
        <w:tab/>
      </w:r>
      <w:r w:rsidR="00667E2D" w:rsidRPr="008E2B49">
        <w:rPr>
          <w:rFonts w:eastAsiaTheme="minorEastAsia" w:cstheme="minorHAnsi"/>
          <w:szCs w:val="24"/>
        </w:rPr>
        <w:tab/>
      </w:r>
      <w:r w:rsidR="00667E2D" w:rsidRPr="008E2B49">
        <w:rPr>
          <w:rFonts w:eastAsiaTheme="minorEastAsia" w:cstheme="minorHAnsi"/>
          <w:szCs w:val="24"/>
        </w:rPr>
        <w:tab/>
      </w:r>
      <w:r w:rsidR="00667E2D" w:rsidRPr="008E2B49">
        <w:rPr>
          <w:rFonts w:eastAsiaTheme="minorEastAsia" w:cstheme="minorHAnsi"/>
          <w:szCs w:val="24"/>
        </w:rPr>
        <w:tab/>
      </w:r>
      <w:r w:rsidR="00667E2D" w:rsidRPr="008E2B49">
        <w:rPr>
          <w:rFonts w:eastAsiaTheme="minorEastAsia" w:cstheme="minorHAnsi"/>
          <w:szCs w:val="24"/>
        </w:rPr>
        <w:tab/>
      </w:r>
      <w:r w:rsidR="00667E2D" w:rsidRPr="008E2B49">
        <w:rPr>
          <w:rFonts w:eastAsiaTheme="minorEastAsia" w:cstheme="minorHAnsi"/>
          <w:szCs w:val="24"/>
        </w:rPr>
        <w:tab/>
      </w:r>
      <w:r w:rsidR="00667E2D" w:rsidRPr="008E2B49">
        <w:rPr>
          <w:rFonts w:eastAsiaTheme="minorEastAsia" w:cstheme="minorHAnsi"/>
          <w:b/>
          <w:bCs/>
          <w:szCs w:val="24"/>
        </w:rPr>
        <w:t>Equation [2]</w:t>
      </w:r>
    </w:p>
    <w:p w14:paraId="1B704E5A" w14:textId="77777777" w:rsidR="00667E2D" w:rsidRPr="008E2B49" w:rsidRDefault="00667E2D" w:rsidP="00667E2D">
      <w:pPr>
        <w:pStyle w:val="ListParagraph"/>
        <w:numPr>
          <w:ilvl w:val="0"/>
          <w:numId w:val="4"/>
        </w:numPr>
        <w:spacing w:after="0" w:line="240" w:lineRule="auto"/>
        <w:rPr>
          <w:rFonts w:cstheme="minorHAnsi"/>
          <w:szCs w:val="24"/>
        </w:rPr>
      </w:pPr>
      <w:r w:rsidRPr="008E2B49">
        <w:rPr>
          <w:rFonts w:cstheme="minorHAnsi"/>
          <w:i/>
          <w:iCs/>
          <w:szCs w:val="24"/>
        </w:rPr>
        <w:t>p</w:t>
      </w:r>
      <w:r w:rsidRPr="008E2B49">
        <w:rPr>
          <w:rFonts w:cstheme="minorHAnsi"/>
          <w:szCs w:val="24"/>
        </w:rPr>
        <w:t>: Pressure (kPa)</w:t>
      </w:r>
    </w:p>
    <w:p w14:paraId="3E7A95FB" w14:textId="77777777" w:rsidR="00667E2D" w:rsidRPr="008E2B49" w:rsidRDefault="00667E2D" w:rsidP="00667E2D">
      <w:pPr>
        <w:pStyle w:val="ListParagraph"/>
        <w:numPr>
          <w:ilvl w:val="0"/>
          <w:numId w:val="4"/>
        </w:numPr>
        <w:spacing w:after="0" w:line="240" w:lineRule="auto"/>
        <w:rPr>
          <w:rFonts w:cstheme="minorHAnsi"/>
          <w:szCs w:val="24"/>
        </w:rPr>
      </w:pPr>
      <w:r w:rsidRPr="008E2B49">
        <w:rPr>
          <w:rFonts w:cstheme="minorHAnsi"/>
          <w:i/>
          <w:iCs/>
          <w:szCs w:val="24"/>
        </w:rPr>
        <w:t>R</w:t>
      </w:r>
      <w:r w:rsidRPr="008E2B49">
        <w:rPr>
          <w:rFonts w:cstheme="minorHAnsi"/>
          <w:szCs w:val="24"/>
        </w:rPr>
        <w:t>: Equal to ideal gas constant (8.314)</w:t>
      </w:r>
    </w:p>
    <w:p w14:paraId="7FD89C5D" w14:textId="77777777" w:rsidR="00667E2D" w:rsidRPr="008E2B49" w:rsidRDefault="00667E2D" w:rsidP="00667E2D">
      <w:pPr>
        <w:pStyle w:val="ListParagraph"/>
        <w:numPr>
          <w:ilvl w:val="0"/>
          <w:numId w:val="4"/>
        </w:numPr>
        <w:spacing w:after="0" w:line="240" w:lineRule="auto"/>
        <w:rPr>
          <w:rFonts w:cstheme="minorHAnsi"/>
          <w:szCs w:val="24"/>
        </w:rPr>
      </w:pPr>
      <w:r w:rsidRPr="008E2B49">
        <w:rPr>
          <w:rFonts w:cstheme="minorHAnsi"/>
          <w:i/>
          <w:iCs/>
          <w:szCs w:val="24"/>
        </w:rPr>
        <w:t>K</w:t>
      </w:r>
      <w:r w:rsidRPr="008E2B49">
        <w:rPr>
          <w:rFonts w:cstheme="minorHAnsi"/>
          <w:szCs w:val="24"/>
        </w:rPr>
        <w:t>: Temperature (Kelvin)</w:t>
      </w:r>
    </w:p>
    <w:p w14:paraId="33F3A85A" w14:textId="77777777" w:rsidR="00667E2D" w:rsidRPr="008E2B49" w:rsidRDefault="00667E2D" w:rsidP="00667E2D">
      <w:pPr>
        <w:spacing w:after="0" w:line="240" w:lineRule="auto"/>
        <w:rPr>
          <w:rFonts w:cstheme="minorHAnsi"/>
          <w:szCs w:val="24"/>
        </w:rPr>
      </w:pPr>
    </w:p>
    <w:p w14:paraId="258E553F" w14:textId="77777777" w:rsidR="00667E2D" w:rsidRPr="008E2B49" w:rsidRDefault="00667E2D" w:rsidP="00667E2D">
      <w:pPr>
        <w:spacing w:after="0" w:line="240" w:lineRule="auto"/>
        <w:rPr>
          <w:rFonts w:cstheme="minorHAnsi"/>
          <w:szCs w:val="24"/>
        </w:rPr>
      </w:pPr>
      <w:r w:rsidRPr="008E2B49">
        <w:rPr>
          <w:rFonts w:cstheme="minorHAnsi"/>
          <w:szCs w:val="24"/>
        </w:rPr>
        <w:t>where Total N</w:t>
      </w:r>
      <w:r w:rsidRPr="008E2B49">
        <w:rPr>
          <w:rFonts w:cstheme="minorHAnsi"/>
          <w:szCs w:val="24"/>
          <w:vertAlign w:val="subscript"/>
        </w:rPr>
        <w:t>2</w:t>
      </w:r>
      <w:r w:rsidRPr="008E2B49">
        <w:rPr>
          <w:rFonts w:cstheme="minorHAnsi"/>
          <w:szCs w:val="24"/>
        </w:rPr>
        <w:t>O produced (</w:t>
      </w:r>
      <w:r w:rsidRPr="008E2B49">
        <w:rPr>
          <w:rFonts w:cstheme="minorHAnsi"/>
          <w:i/>
          <w:iCs/>
          <w:szCs w:val="24"/>
        </w:rPr>
        <w:t>TNP</w:t>
      </w:r>
      <w:r w:rsidRPr="008E2B49">
        <w:rPr>
          <w:rFonts w:cstheme="minorHAnsi"/>
          <w:szCs w:val="24"/>
        </w:rPr>
        <w:t>) is given by:</w:t>
      </w:r>
    </w:p>
    <w:p w14:paraId="60690F7A" w14:textId="77777777" w:rsidR="00667E2D" w:rsidRPr="008E2B49" w:rsidRDefault="00667E2D" w:rsidP="00667E2D">
      <w:pPr>
        <w:spacing w:after="0" w:line="240" w:lineRule="auto"/>
        <w:rPr>
          <w:rFonts w:cstheme="minorHAnsi"/>
          <w:szCs w:val="24"/>
        </w:rPr>
      </w:pPr>
    </w:p>
    <w:p w14:paraId="3983A100" w14:textId="77777777" w:rsidR="00667E2D" w:rsidRPr="008E2B49" w:rsidRDefault="00667E2D" w:rsidP="00667E2D">
      <w:pPr>
        <w:spacing w:after="0" w:line="240" w:lineRule="auto"/>
        <w:rPr>
          <w:rFonts w:eastAsiaTheme="minorEastAsia" w:cstheme="minorHAnsi"/>
          <w:b/>
          <w:bCs/>
          <w:szCs w:val="24"/>
        </w:rPr>
      </w:pPr>
      <m:oMath>
        <m:r>
          <w:rPr>
            <w:rFonts w:ascii="Cambria Math" w:hAnsi="Cambria Math" w:cstheme="minorHAnsi"/>
            <w:szCs w:val="24"/>
          </w:rPr>
          <m:t>TNP=(Ksp×m×W:Hs)+m</m:t>
        </m:r>
      </m:oMath>
      <w:r w:rsidRPr="008E2B49">
        <w:rPr>
          <w:rFonts w:eastAsiaTheme="minorEastAsia" w:cstheme="minorHAnsi"/>
          <w:szCs w:val="24"/>
        </w:rPr>
        <w:t xml:space="preserve"> </w:t>
      </w:r>
      <w:r w:rsidRPr="008E2B49">
        <w:rPr>
          <w:rFonts w:eastAsiaTheme="minorEastAsia" w:cstheme="minorHAnsi"/>
          <w:szCs w:val="24"/>
        </w:rPr>
        <w:tab/>
      </w:r>
      <w:r w:rsidRPr="008E2B49">
        <w:rPr>
          <w:rFonts w:eastAsiaTheme="minorEastAsia" w:cstheme="minorHAnsi"/>
          <w:szCs w:val="24"/>
        </w:rPr>
        <w:tab/>
      </w:r>
      <w:r w:rsidRPr="008E2B49">
        <w:rPr>
          <w:rFonts w:eastAsiaTheme="minorEastAsia" w:cstheme="minorHAnsi"/>
          <w:szCs w:val="24"/>
        </w:rPr>
        <w:tab/>
      </w:r>
      <w:r w:rsidRPr="008E2B49">
        <w:rPr>
          <w:rFonts w:eastAsiaTheme="minorEastAsia" w:cstheme="minorHAnsi"/>
          <w:szCs w:val="24"/>
        </w:rPr>
        <w:tab/>
      </w:r>
      <w:r w:rsidRPr="008E2B49">
        <w:rPr>
          <w:rFonts w:eastAsiaTheme="minorEastAsia" w:cstheme="minorHAnsi"/>
          <w:szCs w:val="24"/>
        </w:rPr>
        <w:tab/>
      </w:r>
      <w:r w:rsidRPr="008E2B49">
        <w:rPr>
          <w:rFonts w:eastAsiaTheme="minorEastAsia" w:cstheme="minorHAnsi"/>
          <w:b/>
          <w:bCs/>
          <w:szCs w:val="24"/>
        </w:rPr>
        <w:t>Equation [3]</w:t>
      </w:r>
    </w:p>
    <w:p w14:paraId="09C44323" w14:textId="77777777" w:rsidR="00667E2D" w:rsidRPr="008E2B49" w:rsidRDefault="00667E2D" w:rsidP="00667E2D">
      <w:pPr>
        <w:spacing w:after="0" w:line="240" w:lineRule="auto"/>
        <w:rPr>
          <w:rFonts w:eastAsiaTheme="minorEastAsia" w:cstheme="minorHAnsi"/>
          <w:szCs w:val="24"/>
        </w:rPr>
      </w:pPr>
    </w:p>
    <w:p w14:paraId="495049CA" w14:textId="77777777" w:rsidR="00667E2D" w:rsidRPr="008E2B49" w:rsidRDefault="00667E2D" w:rsidP="00667E2D">
      <w:pPr>
        <w:pStyle w:val="ListParagraph"/>
        <w:numPr>
          <w:ilvl w:val="0"/>
          <w:numId w:val="2"/>
        </w:numPr>
        <w:spacing w:after="0" w:line="240" w:lineRule="auto"/>
        <w:rPr>
          <w:rFonts w:cstheme="minorHAnsi"/>
          <w:szCs w:val="24"/>
        </w:rPr>
      </w:pPr>
      <w:proofErr w:type="spellStart"/>
      <w:r w:rsidRPr="008E2B49">
        <w:rPr>
          <w:rFonts w:cstheme="minorHAnsi"/>
          <w:i/>
          <w:iCs/>
          <w:szCs w:val="24"/>
        </w:rPr>
        <w:t>Ksp</w:t>
      </w:r>
      <w:proofErr w:type="spellEnd"/>
      <w:r w:rsidRPr="008E2B49">
        <w:rPr>
          <w:rFonts w:cstheme="minorHAnsi"/>
          <w:szCs w:val="24"/>
        </w:rPr>
        <w:t>: N</w:t>
      </w:r>
      <w:r w:rsidRPr="008E2B49">
        <w:rPr>
          <w:rFonts w:cstheme="minorHAnsi"/>
          <w:szCs w:val="24"/>
          <w:vertAlign w:val="subscript"/>
        </w:rPr>
        <w:t>2</w:t>
      </w:r>
      <w:r w:rsidRPr="008E2B49">
        <w:rPr>
          <w:rFonts w:cstheme="minorHAnsi"/>
          <w:szCs w:val="24"/>
        </w:rPr>
        <w:t>O solubility</w:t>
      </w:r>
    </w:p>
    <w:p w14:paraId="282BAD71" w14:textId="77777777" w:rsidR="00667E2D" w:rsidRPr="008E2B49" w:rsidRDefault="00667E2D" w:rsidP="00667E2D">
      <w:pPr>
        <w:pStyle w:val="ListParagraph"/>
        <w:numPr>
          <w:ilvl w:val="0"/>
          <w:numId w:val="2"/>
        </w:numPr>
        <w:spacing w:after="0" w:line="240" w:lineRule="auto"/>
        <w:rPr>
          <w:rFonts w:cstheme="minorHAnsi"/>
          <w:szCs w:val="24"/>
        </w:rPr>
      </w:pPr>
      <w:r w:rsidRPr="008E2B49">
        <w:rPr>
          <w:rFonts w:cstheme="minorHAnsi"/>
          <w:i/>
          <w:iCs/>
          <w:szCs w:val="24"/>
        </w:rPr>
        <w:t>m</w:t>
      </w:r>
      <w:r w:rsidRPr="008E2B49">
        <w:rPr>
          <w:rFonts w:cstheme="minorHAnsi"/>
          <w:szCs w:val="24"/>
        </w:rPr>
        <w:t>: Mass of N</w:t>
      </w:r>
      <w:r w:rsidRPr="008E2B49">
        <w:rPr>
          <w:rFonts w:cstheme="minorHAnsi"/>
          <w:szCs w:val="24"/>
          <w:vertAlign w:val="subscript"/>
        </w:rPr>
        <w:t>2</w:t>
      </w:r>
      <w:r w:rsidRPr="008E2B49">
        <w:rPr>
          <w:rFonts w:cstheme="minorHAnsi"/>
          <w:szCs w:val="24"/>
        </w:rPr>
        <w:t>O in headspace (mg)</w:t>
      </w:r>
    </w:p>
    <w:p w14:paraId="2EA98079" w14:textId="77777777" w:rsidR="00667E2D" w:rsidRPr="008E2B49" w:rsidRDefault="00667E2D" w:rsidP="00667E2D">
      <w:pPr>
        <w:pStyle w:val="ListParagraph"/>
        <w:numPr>
          <w:ilvl w:val="0"/>
          <w:numId w:val="2"/>
        </w:numPr>
        <w:spacing w:after="0" w:line="240" w:lineRule="auto"/>
      </w:pPr>
      <w:proofErr w:type="gramStart"/>
      <w:r w:rsidRPr="2E1D4BE3">
        <w:rPr>
          <w:i/>
        </w:rPr>
        <w:t>W:Hs</w:t>
      </w:r>
      <w:proofErr w:type="gramEnd"/>
      <w:r w:rsidRPr="2E1D4BE3">
        <w:t>: Ratio of water to headspace</w:t>
      </w:r>
    </w:p>
    <w:p w14:paraId="37B2732E" w14:textId="77777777" w:rsidR="00667E2D" w:rsidRPr="008E2B49" w:rsidRDefault="00667E2D" w:rsidP="00667E2D">
      <w:pPr>
        <w:pStyle w:val="ListParagraph"/>
        <w:spacing w:after="0" w:line="240" w:lineRule="auto"/>
        <w:rPr>
          <w:rFonts w:cstheme="minorHAnsi"/>
          <w:szCs w:val="24"/>
        </w:rPr>
      </w:pPr>
    </w:p>
    <w:p w14:paraId="53F981A7" w14:textId="77777777" w:rsidR="00667E2D" w:rsidRPr="008E2B49" w:rsidRDefault="00667E2D" w:rsidP="00667E2D">
      <w:pPr>
        <w:spacing w:after="0" w:line="240" w:lineRule="auto"/>
        <w:rPr>
          <w:rFonts w:cstheme="minorHAnsi"/>
          <w:szCs w:val="24"/>
        </w:rPr>
      </w:pPr>
      <w:r w:rsidRPr="008E2B49">
        <w:rPr>
          <w:rFonts w:cstheme="minorHAnsi"/>
          <w:szCs w:val="24"/>
        </w:rPr>
        <w:t>and, where mass of N</w:t>
      </w:r>
      <w:r w:rsidRPr="008E2B49">
        <w:rPr>
          <w:rFonts w:cstheme="minorHAnsi"/>
          <w:szCs w:val="24"/>
          <w:vertAlign w:val="subscript"/>
        </w:rPr>
        <w:t>2</w:t>
      </w:r>
      <w:r w:rsidRPr="008E2B49">
        <w:rPr>
          <w:rFonts w:cstheme="minorHAnsi"/>
          <w:szCs w:val="24"/>
        </w:rPr>
        <w:t>O in headspace (</w:t>
      </w:r>
      <w:r w:rsidRPr="008E2B49">
        <w:rPr>
          <w:rFonts w:cstheme="minorHAnsi"/>
          <w:i/>
          <w:iCs/>
          <w:szCs w:val="24"/>
        </w:rPr>
        <w:t>m</w:t>
      </w:r>
      <w:r w:rsidRPr="008E2B49">
        <w:rPr>
          <w:rFonts w:cstheme="minorHAnsi"/>
          <w:szCs w:val="24"/>
        </w:rPr>
        <w:t>) is given by:</w:t>
      </w:r>
    </w:p>
    <w:p w14:paraId="25EFCA9F" w14:textId="77777777" w:rsidR="00667E2D" w:rsidRPr="008E2B49" w:rsidRDefault="00667E2D" w:rsidP="00667E2D">
      <w:pPr>
        <w:spacing w:after="0" w:line="240" w:lineRule="auto"/>
        <w:rPr>
          <w:rFonts w:cstheme="minorHAnsi"/>
          <w:szCs w:val="24"/>
        </w:rPr>
      </w:pPr>
    </w:p>
    <w:p w14:paraId="7B3CFF43" w14:textId="77777777" w:rsidR="00667E2D" w:rsidRPr="008E2B49" w:rsidRDefault="00667E2D" w:rsidP="00667E2D">
      <w:pPr>
        <w:spacing w:after="0" w:line="240" w:lineRule="auto"/>
        <w:rPr>
          <w:rFonts w:eastAsiaTheme="minorEastAsia" w:cstheme="minorHAnsi"/>
          <w:b/>
          <w:bCs/>
          <w:szCs w:val="24"/>
        </w:rPr>
      </w:pPr>
      <m:oMath>
        <m:r>
          <w:rPr>
            <w:rFonts w:ascii="Cambria Math" w:hAnsi="Cambria Math" w:cstheme="minorHAnsi"/>
            <w:szCs w:val="24"/>
          </w:rPr>
          <w:lastRenderedPageBreak/>
          <m:t>m=Hs×</m:t>
        </m:r>
        <m:sSub>
          <m:sSubPr>
            <m:ctrlPr>
              <w:rPr>
                <w:rFonts w:ascii="Cambria Math" w:hAnsi="Cambria Math" w:cstheme="minorHAnsi"/>
                <w:i/>
                <w:szCs w:val="24"/>
              </w:rPr>
            </m:ctrlPr>
          </m:sSubPr>
          <m:e>
            <m:r>
              <w:rPr>
                <w:rFonts w:ascii="Cambria Math" w:hAnsi="Cambria Math" w:cstheme="minorHAnsi"/>
                <w:szCs w:val="24"/>
              </w:rPr>
              <m:t>N</m:t>
            </m:r>
          </m:e>
          <m:sub>
            <m:r>
              <w:rPr>
                <w:rFonts w:ascii="Cambria Math" w:hAnsi="Cambria Math" w:cstheme="minorHAnsi"/>
                <w:szCs w:val="24"/>
              </w:rPr>
              <m:t>A</m:t>
            </m:r>
          </m:sub>
        </m:sSub>
        <m:r>
          <w:rPr>
            <w:rFonts w:ascii="Cambria Math" w:hAnsi="Cambria Math" w:cstheme="minorHAnsi"/>
            <w:szCs w:val="24"/>
          </w:rPr>
          <m:t>×(AδC-CδC)</m:t>
        </m:r>
      </m:oMath>
      <w:r w:rsidRPr="008E2B49">
        <w:rPr>
          <w:rFonts w:eastAsiaTheme="minorEastAsia" w:cstheme="minorHAnsi"/>
          <w:szCs w:val="24"/>
        </w:rPr>
        <w:t xml:space="preserve"> </w:t>
      </w:r>
      <w:r w:rsidRPr="008E2B49">
        <w:rPr>
          <w:rFonts w:eastAsiaTheme="minorEastAsia" w:cstheme="minorHAnsi"/>
          <w:szCs w:val="24"/>
        </w:rPr>
        <w:tab/>
      </w:r>
      <w:r w:rsidRPr="008E2B49">
        <w:rPr>
          <w:rFonts w:eastAsiaTheme="minorEastAsia" w:cstheme="minorHAnsi"/>
          <w:szCs w:val="24"/>
        </w:rPr>
        <w:tab/>
      </w:r>
      <w:r w:rsidRPr="008E2B49">
        <w:rPr>
          <w:rFonts w:eastAsiaTheme="minorEastAsia" w:cstheme="minorHAnsi"/>
          <w:szCs w:val="24"/>
        </w:rPr>
        <w:tab/>
      </w:r>
      <w:r w:rsidRPr="008E2B49">
        <w:rPr>
          <w:rFonts w:eastAsiaTheme="minorEastAsia" w:cstheme="minorHAnsi"/>
          <w:szCs w:val="24"/>
        </w:rPr>
        <w:tab/>
      </w:r>
      <w:r w:rsidRPr="008E2B49">
        <w:rPr>
          <w:rFonts w:eastAsiaTheme="minorEastAsia" w:cstheme="minorHAnsi"/>
          <w:szCs w:val="24"/>
        </w:rPr>
        <w:tab/>
      </w:r>
      <w:r w:rsidRPr="008E2B49">
        <w:rPr>
          <w:rFonts w:eastAsiaTheme="minorEastAsia" w:cstheme="minorHAnsi"/>
          <w:b/>
          <w:bCs/>
          <w:szCs w:val="24"/>
        </w:rPr>
        <w:t>Equation [4]</w:t>
      </w:r>
    </w:p>
    <w:p w14:paraId="6E19B4CF" w14:textId="77777777" w:rsidR="00667E2D" w:rsidRPr="008E2B49" w:rsidRDefault="00667E2D" w:rsidP="00667E2D">
      <w:pPr>
        <w:spacing w:after="0" w:line="240" w:lineRule="auto"/>
        <w:rPr>
          <w:rFonts w:cstheme="minorHAnsi"/>
          <w:szCs w:val="24"/>
        </w:rPr>
      </w:pPr>
    </w:p>
    <w:p w14:paraId="6B3A529F" w14:textId="77777777" w:rsidR="00667E2D" w:rsidRPr="008E2B49" w:rsidRDefault="00667E2D" w:rsidP="00667E2D">
      <w:pPr>
        <w:pStyle w:val="ListParagraph"/>
        <w:numPr>
          <w:ilvl w:val="0"/>
          <w:numId w:val="2"/>
        </w:numPr>
        <w:spacing w:after="0" w:line="240" w:lineRule="auto"/>
        <w:ind w:left="714" w:hanging="357"/>
        <w:rPr>
          <w:rFonts w:cstheme="minorHAnsi"/>
          <w:szCs w:val="24"/>
        </w:rPr>
      </w:pPr>
      <w:r w:rsidRPr="008E2B49">
        <w:rPr>
          <w:rFonts w:cstheme="minorHAnsi"/>
          <w:i/>
          <w:iCs/>
          <w:szCs w:val="24"/>
        </w:rPr>
        <w:t>m</w:t>
      </w:r>
      <w:r w:rsidRPr="008E2B49">
        <w:rPr>
          <w:rFonts w:cstheme="minorHAnsi"/>
          <w:szCs w:val="24"/>
        </w:rPr>
        <w:t>: Mass of N</w:t>
      </w:r>
      <w:r w:rsidRPr="008E2B49">
        <w:rPr>
          <w:rFonts w:cstheme="minorHAnsi"/>
          <w:szCs w:val="24"/>
          <w:vertAlign w:val="subscript"/>
        </w:rPr>
        <w:t>2</w:t>
      </w:r>
      <w:r w:rsidRPr="008E2B49">
        <w:rPr>
          <w:rFonts w:cstheme="minorHAnsi"/>
          <w:szCs w:val="24"/>
        </w:rPr>
        <w:t>O in headspace (mg)</w:t>
      </w:r>
    </w:p>
    <w:p w14:paraId="37808D7B" w14:textId="77777777" w:rsidR="00667E2D" w:rsidRPr="008E2B49" w:rsidRDefault="00667E2D" w:rsidP="00667E2D">
      <w:pPr>
        <w:pStyle w:val="ListParagraph"/>
        <w:numPr>
          <w:ilvl w:val="0"/>
          <w:numId w:val="2"/>
        </w:numPr>
        <w:spacing w:after="0" w:line="240" w:lineRule="auto"/>
        <w:ind w:left="714" w:hanging="357"/>
        <w:rPr>
          <w:rFonts w:cstheme="minorHAnsi"/>
          <w:szCs w:val="24"/>
        </w:rPr>
      </w:pPr>
      <w:r w:rsidRPr="008E2B49">
        <w:rPr>
          <w:rFonts w:cstheme="minorHAnsi"/>
          <w:i/>
          <w:iCs/>
          <w:szCs w:val="24"/>
        </w:rPr>
        <w:t>Hs</w:t>
      </w:r>
      <w:r w:rsidRPr="008E2B49">
        <w:rPr>
          <w:rFonts w:cstheme="minorHAnsi"/>
          <w:szCs w:val="24"/>
        </w:rPr>
        <w:t>: Headspace volume (ml)</w:t>
      </w:r>
    </w:p>
    <w:p w14:paraId="59C07AED" w14:textId="77777777" w:rsidR="00667E2D" w:rsidRPr="008E2B49" w:rsidRDefault="00667E2D" w:rsidP="00667E2D">
      <w:pPr>
        <w:pStyle w:val="ListParagraph"/>
        <w:numPr>
          <w:ilvl w:val="0"/>
          <w:numId w:val="2"/>
        </w:numPr>
        <w:spacing w:after="0" w:line="240" w:lineRule="auto"/>
        <w:ind w:left="714" w:hanging="357"/>
        <w:rPr>
          <w:rFonts w:cstheme="minorHAnsi"/>
          <w:szCs w:val="24"/>
        </w:rPr>
      </w:pPr>
      <w:r w:rsidRPr="008E2B49">
        <w:rPr>
          <w:rFonts w:cstheme="minorHAnsi"/>
          <w:i/>
          <w:iCs/>
          <w:szCs w:val="24"/>
        </w:rPr>
        <w:t>N</w:t>
      </w:r>
      <w:r w:rsidRPr="008E2B49">
        <w:rPr>
          <w:rFonts w:cstheme="minorHAnsi"/>
          <w:i/>
          <w:iCs/>
          <w:szCs w:val="24"/>
          <w:vertAlign w:val="subscript"/>
        </w:rPr>
        <w:t>A</w:t>
      </w:r>
      <w:r w:rsidRPr="008E2B49">
        <w:rPr>
          <w:rFonts w:cstheme="minorHAnsi"/>
          <w:i/>
          <w:iCs/>
          <w:szCs w:val="24"/>
        </w:rPr>
        <w:t xml:space="preserve">: </w:t>
      </w:r>
      <w:r w:rsidRPr="008E2B49">
        <w:rPr>
          <w:rFonts w:cstheme="minorHAnsi"/>
          <w:szCs w:val="24"/>
        </w:rPr>
        <w:t>Avogadro constant (6.022×10²³ mol</w:t>
      </w:r>
      <w:r w:rsidRPr="008E2B49">
        <w:rPr>
          <w:rFonts w:ascii="Cambria Math" w:hAnsi="Cambria Math" w:cs="Cambria Math"/>
          <w:szCs w:val="24"/>
        </w:rPr>
        <w:t>⁻</w:t>
      </w:r>
      <w:r w:rsidRPr="008E2B49">
        <w:rPr>
          <w:rFonts w:cstheme="minorHAnsi"/>
          <w:szCs w:val="24"/>
        </w:rPr>
        <w:t>¹)</w:t>
      </w:r>
    </w:p>
    <w:p w14:paraId="4838CEBB" w14:textId="77777777" w:rsidR="00667E2D" w:rsidRPr="008E2B49" w:rsidRDefault="00667E2D" w:rsidP="00667E2D">
      <w:pPr>
        <w:pStyle w:val="ListParagraph"/>
        <w:numPr>
          <w:ilvl w:val="0"/>
          <w:numId w:val="2"/>
        </w:numPr>
        <w:spacing w:after="0" w:line="240" w:lineRule="auto"/>
        <w:ind w:left="714" w:hanging="357"/>
        <w:rPr>
          <w:rFonts w:cstheme="minorHAnsi"/>
          <w:szCs w:val="24"/>
        </w:rPr>
      </w:pPr>
      <w:proofErr w:type="spellStart"/>
      <w:r w:rsidRPr="008E2B49">
        <w:rPr>
          <w:rFonts w:cstheme="minorHAnsi"/>
          <w:i/>
          <w:iCs/>
          <w:szCs w:val="24"/>
        </w:rPr>
        <w:t>A</w:t>
      </w:r>
      <w:r w:rsidRPr="008E2B49">
        <w:rPr>
          <w:rFonts w:eastAsia="DengXian" w:cstheme="minorHAnsi"/>
          <w:i/>
          <w:iCs/>
          <w:szCs w:val="24"/>
        </w:rPr>
        <w:t>δC</w:t>
      </w:r>
      <w:proofErr w:type="spellEnd"/>
      <w:r w:rsidRPr="008E2B49">
        <w:rPr>
          <w:rFonts w:eastAsia="DengXian" w:cstheme="minorHAnsi"/>
          <w:szCs w:val="24"/>
        </w:rPr>
        <w:t>: Change in the gas concentration in acetylene samples: T0-T24</w:t>
      </w:r>
    </w:p>
    <w:p w14:paraId="465FC6B5" w14:textId="77777777" w:rsidR="00667E2D" w:rsidRPr="008E2B49" w:rsidRDefault="00667E2D" w:rsidP="00667E2D">
      <w:pPr>
        <w:pStyle w:val="ListParagraph"/>
        <w:numPr>
          <w:ilvl w:val="0"/>
          <w:numId w:val="2"/>
        </w:numPr>
        <w:spacing w:after="0" w:line="240" w:lineRule="auto"/>
        <w:ind w:left="714" w:hanging="357"/>
        <w:rPr>
          <w:rFonts w:cstheme="minorHAnsi"/>
          <w:szCs w:val="24"/>
        </w:rPr>
      </w:pPr>
      <w:proofErr w:type="spellStart"/>
      <w:r w:rsidRPr="008E2B49">
        <w:rPr>
          <w:rFonts w:cstheme="minorHAnsi"/>
          <w:i/>
          <w:iCs/>
          <w:szCs w:val="24"/>
        </w:rPr>
        <w:t>CδC</w:t>
      </w:r>
      <w:proofErr w:type="spellEnd"/>
      <w:r w:rsidRPr="008E2B49">
        <w:rPr>
          <w:rFonts w:cstheme="minorHAnsi"/>
          <w:szCs w:val="24"/>
        </w:rPr>
        <w:t>: Change in the gas concentration in control samples: T0-T24</w:t>
      </w:r>
    </w:p>
    <w:p w14:paraId="6356E15F" w14:textId="77777777" w:rsidR="00667E2D" w:rsidRPr="008E2B49" w:rsidRDefault="00667E2D" w:rsidP="00667E2D">
      <w:pPr>
        <w:spacing w:after="0" w:line="240" w:lineRule="auto"/>
      </w:pPr>
    </w:p>
    <w:bookmarkEnd w:id="23"/>
    <w:p w14:paraId="7F9F464A" w14:textId="77777777" w:rsidR="00667E2D" w:rsidRPr="00600142" w:rsidRDefault="00667E2D" w:rsidP="00667E2D">
      <w:pPr>
        <w:spacing w:after="0" w:line="240" w:lineRule="auto"/>
        <w:rPr>
          <w:color w:val="FF0000"/>
        </w:rPr>
      </w:pPr>
    </w:p>
    <w:p w14:paraId="5F81A553" w14:textId="14F77058" w:rsidR="004C6F8D" w:rsidRDefault="006B7578" w:rsidP="00667E2D">
      <w:pPr>
        <w:pStyle w:val="Heading3"/>
      </w:pPr>
      <w:bookmarkStart w:id="24" w:name="_Toc213154143"/>
      <w:bookmarkStart w:id="25" w:name="_Toc204240468"/>
      <w:r>
        <w:t xml:space="preserve">Vegetation </w:t>
      </w:r>
      <w:r w:rsidR="00BF4089">
        <w:t>biomass and elemental concentrations</w:t>
      </w:r>
      <w:bookmarkEnd w:id="24"/>
    </w:p>
    <w:p w14:paraId="6EC92D79" w14:textId="43495C26" w:rsidR="00105AC7" w:rsidRDefault="00105AC7" w:rsidP="00105AC7">
      <w:r>
        <w:t>Aboveground live biomass and litter biomass samples were rinsed clean of sediment and any potential nutrient residue from any initial rinse in tap water using deionized water. They were then oven dried at 60°C for a minimum of 72 hours to a constant mass. Belowground biomass samples were rinsed clean of sediment over a 1 mm sieve using deionized water. Live and dead root (belowground) biomass were combined as they could not be distinguished from within the sample core. Samples were oven dried at 60°C for a minimum of 72 hours to a constant mass.</w:t>
      </w:r>
    </w:p>
    <w:p w14:paraId="79959774" w14:textId="653196C1" w:rsidR="00105AC7" w:rsidRPr="00BF4089" w:rsidRDefault="00105AC7" w:rsidP="00105AC7">
      <w:r>
        <w:t>Dried samples were then roughly chopped, and representative subsamples were ball-milled in preparation for elemental analysis for carbon (C) and nitrogen (N) content. 20 mg of sample were weighed into tin capsules (Elemental Microanalysis Ltd.) and analysed for carbon and nitrogen concentrations using a Vario EL cube elemental analyser (</w:t>
      </w:r>
      <w:proofErr w:type="spellStart"/>
      <w:r>
        <w:t>Elementar</w:t>
      </w:r>
      <w:proofErr w:type="spellEnd"/>
      <w:r>
        <w:t xml:space="preserve"> Ltd.). </w:t>
      </w:r>
    </w:p>
    <w:p w14:paraId="73FF4328" w14:textId="2284E63E" w:rsidR="00667E2D" w:rsidRDefault="00667E2D" w:rsidP="00667E2D">
      <w:pPr>
        <w:pStyle w:val="Heading3"/>
      </w:pPr>
      <w:bookmarkStart w:id="26" w:name="_Toc213154144"/>
      <w:r>
        <w:t>Porewater and Seawater Samples</w:t>
      </w:r>
      <w:bookmarkEnd w:id="25"/>
      <w:bookmarkEnd w:id="26"/>
    </w:p>
    <w:p w14:paraId="22C05476" w14:textId="77777777" w:rsidR="00667E2D" w:rsidRPr="00522CCE" w:rsidRDefault="00667E2D" w:rsidP="00667E2D">
      <w:pPr>
        <w:spacing w:after="0" w:line="240" w:lineRule="auto"/>
        <w:rPr>
          <w:rFonts w:cstheme="minorHAnsi"/>
          <w:szCs w:val="24"/>
        </w:rPr>
      </w:pPr>
      <w:bookmarkStart w:id="27" w:name="_Hlk193716969"/>
      <w:r w:rsidRPr="00522CCE">
        <w:rPr>
          <w:rFonts w:cstheme="minorHAnsi"/>
          <w:szCs w:val="24"/>
        </w:rPr>
        <w:t>Seawater and porewater samples were analysed using colorimetric based methods. Nitrate (NO</w:t>
      </w:r>
      <w:r w:rsidRPr="00522CCE">
        <w:rPr>
          <w:rFonts w:cstheme="minorHAnsi"/>
          <w:szCs w:val="24"/>
          <w:vertAlign w:val="subscript"/>
        </w:rPr>
        <w:t>3</w:t>
      </w:r>
      <w:r w:rsidRPr="00522CCE">
        <w:rPr>
          <w:rFonts w:cstheme="minorHAnsi"/>
          <w:szCs w:val="24"/>
          <w:vertAlign w:val="superscript"/>
        </w:rPr>
        <w:t>-</w:t>
      </w:r>
      <w:r w:rsidRPr="00522CCE">
        <w:rPr>
          <w:rFonts w:cstheme="minorHAnsi"/>
          <w:szCs w:val="24"/>
        </w:rPr>
        <w:t>) was measured using a Vanadium reduction followed by a Griess reaction. Ammonium (NH</w:t>
      </w:r>
      <w:r w:rsidRPr="00522CCE">
        <w:rPr>
          <w:rFonts w:cstheme="minorHAnsi"/>
          <w:szCs w:val="24"/>
          <w:vertAlign w:val="subscript"/>
        </w:rPr>
        <w:t>4</w:t>
      </w:r>
      <w:r w:rsidRPr="00522CCE">
        <w:rPr>
          <w:rFonts w:cstheme="minorHAnsi"/>
          <w:szCs w:val="24"/>
          <w:vertAlign w:val="superscript"/>
        </w:rPr>
        <w:t>+</w:t>
      </w:r>
      <w:r w:rsidRPr="00522CCE">
        <w:rPr>
          <w:rFonts w:cstheme="minorHAnsi"/>
          <w:szCs w:val="24"/>
        </w:rPr>
        <w:t>) was measured using a buffered indophenol method. Phosphate (PO</w:t>
      </w:r>
      <w:r w:rsidRPr="00522CCE">
        <w:rPr>
          <w:rFonts w:cstheme="minorHAnsi"/>
          <w:szCs w:val="24"/>
          <w:vertAlign w:val="subscript"/>
        </w:rPr>
        <w:t>4</w:t>
      </w:r>
      <w:r w:rsidRPr="00522CCE">
        <w:rPr>
          <w:rFonts w:cstheme="minorHAnsi"/>
          <w:szCs w:val="24"/>
          <w:vertAlign w:val="superscript"/>
        </w:rPr>
        <w:t>3-</w:t>
      </w:r>
      <w:r w:rsidRPr="00522CCE">
        <w:rPr>
          <w:rFonts w:cstheme="minorHAnsi"/>
          <w:szCs w:val="24"/>
        </w:rPr>
        <w:t xml:space="preserve">) was measured using the molybdenum blue method. </w:t>
      </w:r>
    </w:p>
    <w:p w14:paraId="47750151" w14:textId="77777777" w:rsidR="00667E2D" w:rsidRPr="00522CCE" w:rsidRDefault="00667E2D" w:rsidP="00667E2D">
      <w:pPr>
        <w:spacing w:after="0" w:line="240" w:lineRule="auto"/>
        <w:rPr>
          <w:rFonts w:cstheme="minorHAnsi"/>
          <w:szCs w:val="24"/>
        </w:rPr>
      </w:pPr>
    </w:p>
    <w:p w14:paraId="6EC06115" w14:textId="77777777" w:rsidR="00667E2D" w:rsidRDefault="00667E2D" w:rsidP="00667E2D">
      <w:pPr>
        <w:spacing w:after="0" w:line="240" w:lineRule="auto"/>
      </w:pPr>
      <w:r w:rsidRPr="00522CCE">
        <w:t>Other seawater ion concentrations (Cl</w:t>
      </w:r>
      <w:r w:rsidRPr="00522CCE">
        <w:rPr>
          <w:vertAlign w:val="superscript"/>
        </w:rPr>
        <w:t>-</w:t>
      </w:r>
      <w:r w:rsidRPr="00522CCE">
        <w:t>, Na</w:t>
      </w:r>
      <w:r w:rsidRPr="00522CCE">
        <w:rPr>
          <w:vertAlign w:val="superscript"/>
        </w:rPr>
        <w:t>2+</w:t>
      </w:r>
      <w:r w:rsidRPr="00522CCE">
        <w:t>, K</w:t>
      </w:r>
      <w:r w:rsidRPr="00522CCE">
        <w:rPr>
          <w:vertAlign w:val="superscript"/>
        </w:rPr>
        <w:t>+</w:t>
      </w:r>
      <w:r w:rsidRPr="00522CCE">
        <w:t>, Br</w:t>
      </w:r>
      <w:r w:rsidRPr="00522CCE">
        <w:rPr>
          <w:vertAlign w:val="superscript"/>
        </w:rPr>
        <w:t>-</w:t>
      </w:r>
      <w:r w:rsidRPr="00522CCE">
        <w:t>, Mg</w:t>
      </w:r>
      <w:r w:rsidRPr="00522CCE">
        <w:rPr>
          <w:vertAlign w:val="superscript"/>
        </w:rPr>
        <w:t>3+</w:t>
      </w:r>
      <w:r w:rsidRPr="00522CCE">
        <w:t xml:space="preserve"> and Ca</w:t>
      </w:r>
      <w:r w:rsidRPr="00522CCE">
        <w:rPr>
          <w:vertAlign w:val="superscript"/>
        </w:rPr>
        <w:t>2+</w:t>
      </w:r>
      <w:r w:rsidRPr="00522CCE">
        <w:t xml:space="preserve">) were measured using a </w:t>
      </w:r>
      <w:proofErr w:type="spellStart"/>
      <w:r w:rsidRPr="00522CCE">
        <w:t>Metrohm</w:t>
      </w:r>
      <w:proofErr w:type="spellEnd"/>
      <w:r w:rsidRPr="00522CCE">
        <w:t xml:space="preserve"> 850 Professional IC. For anions, 20 </w:t>
      </w:r>
      <w:proofErr w:type="spellStart"/>
      <w:r w:rsidRPr="00522CCE">
        <w:rPr>
          <w:rFonts w:cs="Arial"/>
        </w:rPr>
        <w:t>μ</w:t>
      </w:r>
      <w:r w:rsidRPr="00522CCE">
        <w:t>l</w:t>
      </w:r>
      <w:proofErr w:type="spellEnd"/>
      <w:r w:rsidRPr="00522CCE">
        <w:t xml:space="preserve"> of sample was injected onto a </w:t>
      </w:r>
      <w:proofErr w:type="spellStart"/>
      <w:r w:rsidRPr="00522CCE">
        <w:t>Metrosep</w:t>
      </w:r>
      <w:proofErr w:type="spellEnd"/>
      <w:r w:rsidRPr="00522CCE">
        <w:t xml:space="preserve"> </w:t>
      </w:r>
      <w:proofErr w:type="gramStart"/>
      <w:r w:rsidRPr="00522CCE">
        <w:t>A</w:t>
      </w:r>
      <w:proofErr w:type="gramEnd"/>
      <w:r w:rsidRPr="00522CCE">
        <w:t xml:space="preserve"> Supp 5 – 150/4.0 column using an 8mM Na</w:t>
      </w:r>
      <w:r w:rsidRPr="00522CCE">
        <w:rPr>
          <w:vertAlign w:val="subscript"/>
        </w:rPr>
        <w:t>2</w:t>
      </w:r>
      <w:r w:rsidRPr="00522CCE">
        <w:t>CO</w:t>
      </w:r>
      <w:r w:rsidRPr="00522CCE">
        <w:rPr>
          <w:vertAlign w:val="subscript"/>
        </w:rPr>
        <w:t>3</w:t>
      </w:r>
      <w:r w:rsidRPr="009B0191">
        <w:t>, 0.2mM NaHCO</w:t>
      </w:r>
      <w:r w:rsidRPr="00B63A41">
        <w:rPr>
          <w:vertAlign w:val="subscript"/>
        </w:rPr>
        <w:t>3</w:t>
      </w:r>
      <w:r w:rsidRPr="009B0191">
        <w:t xml:space="preserve"> eluent.</w:t>
      </w:r>
      <w:r>
        <w:t xml:space="preserve"> For cations, </w:t>
      </w:r>
      <w:r w:rsidRPr="009B0191">
        <w:t>20</w:t>
      </w:r>
      <w:r>
        <w:t xml:space="preserve"> </w:t>
      </w:r>
      <w:proofErr w:type="spellStart"/>
      <w:r>
        <w:rPr>
          <w:rFonts w:cs="Arial"/>
        </w:rPr>
        <w:t>μ</w:t>
      </w:r>
      <w:r w:rsidRPr="009B0191">
        <w:t>l</w:t>
      </w:r>
      <w:proofErr w:type="spellEnd"/>
      <w:r w:rsidRPr="009B0191">
        <w:t xml:space="preserve"> of sample was injected onto a </w:t>
      </w:r>
      <w:proofErr w:type="spellStart"/>
      <w:r w:rsidRPr="009B0191">
        <w:t>Metrosep</w:t>
      </w:r>
      <w:proofErr w:type="spellEnd"/>
      <w:r w:rsidRPr="009B0191">
        <w:t xml:space="preserve"> C 4 – 250/4.0 column using a 5mM HNO</w:t>
      </w:r>
      <w:r w:rsidRPr="00B63A41">
        <w:rPr>
          <w:vertAlign w:val="subscript"/>
        </w:rPr>
        <w:t>3</w:t>
      </w:r>
      <w:r w:rsidRPr="009B0191">
        <w:t>/1mM Oxalic acid eluent. Both columns were fitted with guard columns</w:t>
      </w:r>
      <w:r>
        <w:t xml:space="preserve"> (A Supp 19 guard 4.0 and C6 Guard 4.0). S</w:t>
      </w:r>
      <w:r w:rsidRPr="009B0191">
        <w:t>eawater samples were diluted x50 to ensure ion levels were within the top standards</w:t>
      </w:r>
      <w:r>
        <w:t xml:space="preserve">. </w:t>
      </w:r>
      <w:r w:rsidRPr="14692A7D">
        <w:t xml:space="preserve">Ion </w:t>
      </w:r>
      <w:r w:rsidRPr="0343B956">
        <w:t>concentrations</w:t>
      </w:r>
      <w:r w:rsidRPr="14692A7D">
        <w:t xml:space="preserve"> were then used to generate seawater composition for each WHS</w:t>
      </w:r>
      <w:r w:rsidRPr="53509773">
        <w:t xml:space="preserve"> run.</w:t>
      </w:r>
    </w:p>
    <w:p w14:paraId="6559489B" w14:textId="0A12988F" w:rsidR="00667E2D" w:rsidRPr="00921DFC" w:rsidRDefault="00FC52EF" w:rsidP="00667E2D">
      <w:pPr>
        <w:pStyle w:val="Heading3"/>
      </w:pPr>
      <w:bookmarkStart w:id="28" w:name="_Toc204240469"/>
      <w:bookmarkStart w:id="29" w:name="_Toc213154145"/>
      <w:bookmarkEnd w:id="27"/>
      <w:r>
        <w:t xml:space="preserve">Organic </w:t>
      </w:r>
      <w:r w:rsidR="00667E2D">
        <w:t>Matter</w:t>
      </w:r>
      <w:r>
        <w:t xml:space="preserve"> content and </w:t>
      </w:r>
      <w:r w:rsidR="00667E2D">
        <w:t>Bulk Density</w:t>
      </w:r>
      <w:bookmarkEnd w:id="28"/>
      <w:bookmarkEnd w:id="29"/>
    </w:p>
    <w:p w14:paraId="08A38141" w14:textId="77777777" w:rsidR="00667E2D" w:rsidRPr="004C2D93" w:rsidRDefault="00667E2D" w:rsidP="00667E2D">
      <w:pPr>
        <w:spacing w:before="100" w:beforeAutospacing="1" w:after="100" w:afterAutospacing="1" w:line="240" w:lineRule="auto"/>
        <w:rPr>
          <w:rFonts w:eastAsia="Times New Roman" w:cs="Arial"/>
          <w:szCs w:val="24"/>
          <w:lang w:eastAsia="en-GB"/>
        </w:rPr>
      </w:pPr>
      <w:bookmarkStart w:id="30" w:name="_Hlk193717204"/>
      <w:r w:rsidRPr="004C2D93">
        <w:rPr>
          <w:rFonts w:eastAsia="Times New Roman" w:cs="Arial"/>
          <w:szCs w:val="24"/>
          <w:lang w:eastAsia="en-GB"/>
        </w:rPr>
        <w:t>The Loss on Ignition (</w:t>
      </w:r>
      <w:proofErr w:type="spellStart"/>
      <w:r w:rsidRPr="004C2D93">
        <w:rPr>
          <w:rFonts w:eastAsia="Times New Roman" w:cs="Arial"/>
          <w:szCs w:val="24"/>
          <w:lang w:eastAsia="en-GB"/>
        </w:rPr>
        <w:t>LoI</w:t>
      </w:r>
      <w:proofErr w:type="spellEnd"/>
      <w:r w:rsidRPr="004C2D93">
        <w:rPr>
          <w:rFonts w:eastAsia="Times New Roman" w:cs="Arial"/>
          <w:szCs w:val="24"/>
          <w:lang w:eastAsia="en-GB"/>
        </w:rPr>
        <w:t xml:space="preserve">) method was employed to determine the percentage of moisture and organic </w:t>
      </w:r>
      <w:r>
        <w:rPr>
          <w:rFonts w:eastAsia="Times New Roman" w:cs="Arial"/>
          <w:szCs w:val="24"/>
          <w:lang w:eastAsia="en-GB"/>
        </w:rPr>
        <w:t xml:space="preserve">matter </w:t>
      </w:r>
      <w:r w:rsidRPr="004C2D93">
        <w:rPr>
          <w:rFonts w:eastAsia="Times New Roman" w:cs="Arial"/>
          <w:szCs w:val="24"/>
          <w:lang w:eastAsia="en-GB"/>
        </w:rPr>
        <w:t>content in</w:t>
      </w:r>
      <w:r>
        <w:rPr>
          <w:rFonts w:eastAsia="Times New Roman" w:cs="Arial"/>
          <w:szCs w:val="24"/>
          <w:lang w:eastAsia="en-GB"/>
        </w:rPr>
        <w:t xml:space="preserve"> the sediment from the different coastal habitats</w:t>
      </w:r>
      <w:r w:rsidRPr="004C2D93">
        <w:rPr>
          <w:rFonts w:eastAsia="Times New Roman" w:cs="Arial"/>
          <w:szCs w:val="24"/>
          <w:lang w:eastAsia="en-GB"/>
        </w:rPr>
        <w:t>. Cleaned and labelled crucibles were weighed to four decimal places before being filled with homogenized sediment. The samples were dried in an oven at 105°C for 24 hours to remove water content (or until a constant weight was achieved), then cooled in a desiccator and reweighed to determine moisture loss. The dried samples were subsequently combusted in a muffle furnace at 550°C for 200 minutes to remove organic material (following initial trials to establish necessary timing). After cooling, the crucibles were reweighed to measure the mass of the remaining inorganic fraction. Moisture and organic content percentages were calculated using the following formulas:</w:t>
      </w:r>
    </w:p>
    <w:p w14:paraId="03A254B0" w14:textId="77777777" w:rsidR="00667E2D" w:rsidRPr="004C2D93" w:rsidRDefault="00667E2D" w:rsidP="00667E2D">
      <w:pPr>
        <w:spacing w:before="100" w:beforeAutospacing="1" w:after="100" w:afterAutospacing="1" w:line="240" w:lineRule="auto"/>
        <w:rPr>
          <w:rFonts w:ascii="Times New Roman" w:eastAsia="Times New Roman" w:hAnsi="Times New Roman"/>
          <w:szCs w:val="24"/>
          <w:lang w:eastAsia="en-GB"/>
        </w:rPr>
      </w:pPr>
      <w:r w:rsidRPr="004C2D93">
        <w:rPr>
          <w:noProof/>
          <w:szCs w:val="24"/>
        </w:rPr>
        <w:lastRenderedPageBreak/>
        <w:drawing>
          <wp:inline distT="0" distB="0" distL="0" distR="0" wp14:anchorId="32A3BFF6" wp14:editId="600372DB">
            <wp:extent cx="6115685" cy="864235"/>
            <wp:effectExtent l="0" t="0" r="0" b="0"/>
            <wp:docPr id="569777467" name="Picture 1" descr="A close-up of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777467" name="Picture 1" descr="A close-up of text&#10;&#10;AI-generated content may be incorrect."/>
                    <pic:cNvPicPr/>
                  </pic:nvPicPr>
                  <pic:blipFill>
                    <a:blip r:embed="rId11"/>
                    <a:stretch>
                      <a:fillRect/>
                    </a:stretch>
                  </pic:blipFill>
                  <pic:spPr>
                    <a:xfrm>
                      <a:off x="0" y="0"/>
                      <a:ext cx="6115685" cy="864235"/>
                    </a:xfrm>
                    <a:prstGeom prst="rect">
                      <a:avLst/>
                    </a:prstGeom>
                  </pic:spPr>
                </pic:pic>
              </a:graphicData>
            </a:graphic>
          </wp:inline>
        </w:drawing>
      </w:r>
    </w:p>
    <w:p w14:paraId="05978EA7" w14:textId="77777777" w:rsidR="00667E2D" w:rsidRPr="004C2D93" w:rsidRDefault="00667E2D" w:rsidP="00667E2D">
      <w:pPr>
        <w:spacing w:before="100" w:beforeAutospacing="1" w:after="100" w:afterAutospacing="1" w:line="240" w:lineRule="auto"/>
        <w:jc w:val="right"/>
        <w:rPr>
          <w:rFonts w:eastAsia="Times New Roman" w:cstheme="minorHAnsi"/>
          <w:b/>
          <w:bCs/>
          <w:szCs w:val="24"/>
          <w:lang w:eastAsia="en-GB"/>
        </w:rPr>
      </w:pPr>
      <w:r w:rsidRPr="004C2D93">
        <w:rPr>
          <w:rFonts w:eastAsia="Times New Roman" w:cstheme="minorHAnsi"/>
          <w:b/>
          <w:bCs/>
          <w:szCs w:val="24"/>
          <w:lang w:eastAsia="en-GB"/>
        </w:rPr>
        <w:t>Equations [5] and [6]</w:t>
      </w:r>
    </w:p>
    <w:p w14:paraId="488B4BE5" w14:textId="77777777" w:rsidR="00667E2D" w:rsidRDefault="00667E2D" w:rsidP="00667E2D">
      <w:pPr>
        <w:spacing w:after="0" w:line="240" w:lineRule="auto"/>
        <w:rPr>
          <w:rFonts w:eastAsia="Times New Roman" w:cs="Arial"/>
          <w:szCs w:val="24"/>
          <w:lang w:eastAsia="en-GB"/>
        </w:rPr>
      </w:pPr>
      <w:r w:rsidRPr="004C2D93">
        <w:rPr>
          <w:rFonts w:eastAsia="Times New Roman" w:cs="Arial"/>
          <w:szCs w:val="24"/>
          <w:lang w:eastAsia="en-GB"/>
        </w:rPr>
        <w:t xml:space="preserve">To determine soil bulk </w:t>
      </w:r>
      <w:r w:rsidRPr="004D1DA1">
        <w:rPr>
          <w:rFonts w:eastAsia="Times New Roman" w:cs="Arial"/>
          <w:szCs w:val="24"/>
          <w:lang w:eastAsia="en-GB"/>
        </w:rPr>
        <w:t>density</w:t>
      </w:r>
      <w:r w:rsidRPr="004C2D93">
        <w:rPr>
          <w:rFonts w:eastAsia="Times New Roman" w:cs="Arial"/>
          <w:szCs w:val="24"/>
          <w:lang w:eastAsia="en-GB"/>
        </w:rPr>
        <w:t>, a 1 cm-thick disk was extracted from a 10 cm depth of the Control core. The soil sample was placed into a pre-weighed foil dish and dried in an oven at 105 °C for 48 hours, or until a constant weight was achieved, to remove all moisture. After drying, the sample was weighed again. Bulk density (g/cm³) was calculated by dividing the oven-dry mass of the soil by the sample's volume, which was determined from the known dimensions of the core sampler.</w:t>
      </w:r>
      <w:r>
        <w:rPr>
          <w:rFonts w:eastAsia="Times New Roman" w:cs="Arial"/>
          <w:szCs w:val="24"/>
          <w:lang w:eastAsia="en-GB"/>
        </w:rPr>
        <w:t xml:space="preserve"> </w:t>
      </w:r>
      <w:bookmarkEnd w:id="30"/>
    </w:p>
    <w:p w14:paraId="2C6BB124" w14:textId="77777777" w:rsidR="0034657F" w:rsidRDefault="0034657F" w:rsidP="00667E2D">
      <w:pPr>
        <w:spacing w:after="0" w:line="240" w:lineRule="auto"/>
        <w:rPr>
          <w:rFonts w:eastAsia="Times New Roman" w:cs="Arial"/>
          <w:szCs w:val="24"/>
          <w:lang w:eastAsia="en-GB"/>
        </w:rPr>
      </w:pPr>
    </w:p>
    <w:p w14:paraId="14992691" w14:textId="21C587F6" w:rsidR="0034657F" w:rsidRDefault="0034657F" w:rsidP="0034657F">
      <w:pPr>
        <w:pStyle w:val="Heading3"/>
        <w:rPr>
          <w:rFonts w:eastAsia="Times New Roman"/>
          <w:lang w:eastAsia="en-GB"/>
        </w:rPr>
      </w:pPr>
      <w:bookmarkStart w:id="31" w:name="_Toc213154146"/>
      <w:r>
        <w:rPr>
          <w:rFonts w:eastAsia="Times New Roman"/>
          <w:lang w:eastAsia="en-GB"/>
        </w:rPr>
        <w:t>Particle size distribution</w:t>
      </w:r>
      <w:bookmarkEnd w:id="31"/>
    </w:p>
    <w:p w14:paraId="2165D1BB" w14:textId="299F88F9" w:rsidR="007F476E" w:rsidRDefault="007F476E" w:rsidP="007F476E">
      <w:pPr>
        <w:rPr>
          <w:lang w:eastAsia="en-GB"/>
        </w:rPr>
      </w:pPr>
      <w:r>
        <w:rPr>
          <w:lang w:eastAsia="en-GB"/>
        </w:rPr>
        <w:t>One sample of approximately 10 g was extracted from 10 cm depth from a core chosen at random per vegetation zone (N = 36: 6 estuaries x 2 saltmarshes x 3 vegetation zones</w:t>
      </w:r>
      <w:r w:rsidRPr="00AA75A2">
        <w:rPr>
          <w:lang w:eastAsia="en-GB"/>
        </w:rPr>
        <w:t>)</w:t>
      </w:r>
      <w:r>
        <w:rPr>
          <w:lang w:eastAsia="en-GB"/>
        </w:rPr>
        <w:t>. The sediment sample was kept cool until it could be processed for particle size distribution</w:t>
      </w:r>
      <w:r w:rsidRPr="00AA75A2">
        <w:rPr>
          <w:lang w:eastAsia="en-GB"/>
        </w:rPr>
        <w:t>.</w:t>
      </w:r>
    </w:p>
    <w:p w14:paraId="5A2BBD7C" w14:textId="3074767A" w:rsidR="007F476E" w:rsidRDefault="00243521" w:rsidP="007F476E">
      <w:pPr>
        <w:rPr>
          <w:lang w:eastAsia="en-GB"/>
        </w:rPr>
      </w:pPr>
      <w:r>
        <w:rPr>
          <w:lang w:eastAsia="en-GB"/>
        </w:rPr>
        <w:t>At the UKCEH Bangor laboratories, a</w:t>
      </w:r>
      <w:r w:rsidR="007F476E">
        <w:rPr>
          <w:lang w:eastAsia="en-GB"/>
        </w:rPr>
        <w:t xml:space="preserve"> subsample of approximately 0.8 to 1.5 g of field-moist sediment (exact mass recorded) was extracted and organic matter removed, using 10 ml aliquots of 6 % hydrogen peroxide (H</w:t>
      </w:r>
      <w:r w:rsidR="007F476E" w:rsidRPr="004E144A">
        <w:rPr>
          <w:vertAlign w:val="subscript"/>
          <w:lang w:eastAsia="en-GB"/>
        </w:rPr>
        <w:t>2</w:t>
      </w:r>
      <w:r w:rsidR="007F476E">
        <w:rPr>
          <w:lang w:eastAsia="en-GB"/>
        </w:rPr>
        <w:t>O</w:t>
      </w:r>
      <w:r w:rsidR="007F476E" w:rsidRPr="004E144A">
        <w:rPr>
          <w:vertAlign w:val="subscript"/>
          <w:lang w:eastAsia="en-GB"/>
        </w:rPr>
        <w:t>2</w:t>
      </w:r>
      <w:r w:rsidR="007F476E">
        <w:rPr>
          <w:lang w:eastAsia="en-GB"/>
        </w:rPr>
        <w:t>) solution until such time that foaming ceased when further 6 % H</w:t>
      </w:r>
      <w:r w:rsidR="007F476E" w:rsidRPr="004E144A">
        <w:rPr>
          <w:vertAlign w:val="subscript"/>
          <w:lang w:eastAsia="en-GB"/>
        </w:rPr>
        <w:t>2</w:t>
      </w:r>
      <w:r w:rsidR="007F476E">
        <w:rPr>
          <w:lang w:eastAsia="en-GB"/>
        </w:rPr>
        <w:t>O</w:t>
      </w:r>
      <w:r w:rsidR="007F476E" w:rsidRPr="004E144A">
        <w:rPr>
          <w:vertAlign w:val="subscript"/>
          <w:lang w:eastAsia="en-GB"/>
        </w:rPr>
        <w:t>2</w:t>
      </w:r>
      <w:r w:rsidR="007F476E">
        <w:rPr>
          <w:lang w:eastAsia="en-GB"/>
        </w:rPr>
        <w:t xml:space="preserve"> was added. A heat cycle (60 minutes at 85 </w:t>
      </w:r>
      <w:r w:rsidR="007F476E">
        <w:rPr>
          <w:rFonts w:cs="Arial"/>
          <w:lang w:eastAsia="en-GB"/>
        </w:rPr>
        <w:t>°</w:t>
      </w:r>
      <w:r w:rsidR="007F476E">
        <w:rPr>
          <w:lang w:eastAsia="en-GB"/>
        </w:rPr>
        <w:t xml:space="preserve">C, 60 minutes at 100 </w:t>
      </w:r>
      <w:r w:rsidR="007F476E">
        <w:rPr>
          <w:rFonts w:cs="Arial"/>
          <w:lang w:eastAsia="en-GB"/>
        </w:rPr>
        <w:t>°</w:t>
      </w:r>
      <w:r w:rsidR="007F476E">
        <w:rPr>
          <w:lang w:eastAsia="en-GB"/>
        </w:rPr>
        <w:t xml:space="preserve">C and 60 minutes at 110 </w:t>
      </w:r>
      <w:r w:rsidR="007F476E">
        <w:rPr>
          <w:rFonts w:cs="Arial"/>
          <w:lang w:eastAsia="en-GB"/>
        </w:rPr>
        <w:t>°</w:t>
      </w:r>
      <w:r w:rsidR="007F476E">
        <w:rPr>
          <w:lang w:eastAsia="en-GB"/>
        </w:rPr>
        <w:t xml:space="preserve">C) was then implemented on a </w:t>
      </w:r>
      <w:proofErr w:type="spellStart"/>
      <w:r w:rsidR="007F476E">
        <w:rPr>
          <w:lang w:eastAsia="en-GB"/>
        </w:rPr>
        <w:t>Velp</w:t>
      </w:r>
      <w:proofErr w:type="spellEnd"/>
      <w:r w:rsidR="007F476E">
        <w:rPr>
          <w:lang w:eastAsia="en-GB"/>
        </w:rPr>
        <w:t xml:space="preserve"> scientific digester unit (capacity 42 test tubes) with samples then allowed to cool. 30 % H</w:t>
      </w:r>
      <w:r w:rsidR="007F476E" w:rsidRPr="004E144A">
        <w:rPr>
          <w:vertAlign w:val="subscript"/>
          <w:lang w:eastAsia="en-GB"/>
        </w:rPr>
        <w:t>2</w:t>
      </w:r>
      <w:r w:rsidR="007F476E">
        <w:rPr>
          <w:lang w:eastAsia="en-GB"/>
        </w:rPr>
        <w:t>O</w:t>
      </w:r>
      <w:r w:rsidR="007F476E" w:rsidRPr="004E144A">
        <w:rPr>
          <w:vertAlign w:val="subscript"/>
          <w:lang w:eastAsia="en-GB"/>
        </w:rPr>
        <w:t>2</w:t>
      </w:r>
      <w:r w:rsidR="007F476E">
        <w:rPr>
          <w:lang w:eastAsia="en-GB"/>
        </w:rPr>
        <w:t xml:space="preserve"> was then added, dropwise, to continue oxidation until no further foaming, and then 1 ml was added, and left overnight. We then implemented another heating cycle to ensure that at the completion of the digestion cycle, there was clear liquid with sand/particles at the bottom. These particles were transferred to 250 ml bottles, 5 ml of 5 % Calgon solution was added; the Calgon solution was prepared by weighing 36 g of sodium hexametaphosphate and 8 g of sodium bicarbonate in a 2 L flask, with subsequent dissolution in 2 L of deionised water. Samples were then placed in an orbital shaker, in an upright position, running at 200 rpm overnight. </w:t>
      </w:r>
    </w:p>
    <w:p w14:paraId="4F8A4DA9" w14:textId="77777777" w:rsidR="00195E18" w:rsidRDefault="007F476E" w:rsidP="007F476E">
      <w:pPr>
        <w:rPr>
          <w:lang w:eastAsia="en-GB"/>
        </w:rPr>
      </w:pPr>
      <w:r>
        <w:rPr>
          <w:lang w:eastAsia="en-GB"/>
        </w:rPr>
        <w:t xml:space="preserve">The contents of the 250 ml bottles were emptied manually into the particle size analyser (a Beckman Coulter LS13 320 laser diffraction unit) for the measurement of particle size distribution. A batch consists of 42 samples: within a batch, we ran 20 samples, 16 replicates, and 3 internal Bangor standards, each replicated twice (BS3, BSP and BSM). </w:t>
      </w:r>
      <w:r w:rsidR="00BC63AB">
        <w:rPr>
          <w:lang w:eastAsia="en-GB"/>
        </w:rPr>
        <w:t xml:space="preserve">Mean, median grain size, skewness and kurtosis were calculated for each sample. </w:t>
      </w:r>
    </w:p>
    <w:p w14:paraId="245A37D0" w14:textId="4169B2F4" w:rsidR="00984F69" w:rsidRDefault="00195E18" w:rsidP="007F476E">
      <w:pPr>
        <w:rPr>
          <w:lang w:eastAsia="en-GB"/>
        </w:rPr>
      </w:pPr>
      <w:r>
        <w:rPr>
          <w:lang w:eastAsia="en-GB"/>
        </w:rPr>
        <w:t xml:space="preserve">Each sample was classified in the </w:t>
      </w:r>
      <w:r w:rsidRPr="00B44A8B">
        <w:rPr>
          <w:lang w:eastAsia="en-GB"/>
        </w:rPr>
        <w:t xml:space="preserve">Folk sediment classification </w:t>
      </w:r>
      <w:r>
        <w:rPr>
          <w:lang w:eastAsia="en-GB"/>
        </w:rPr>
        <w:t xml:space="preserve">(Gee and </w:t>
      </w:r>
      <w:proofErr w:type="gramStart"/>
      <w:r>
        <w:rPr>
          <w:lang w:eastAsia="en-GB"/>
        </w:rPr>
        <w:t>Or</w:t>
      </w:r>
      <w:proofErr w:type="gramEnd"/>
      <w:r>
        <w:rPr>
          <w:lang w:eastAsia="en-GB"/>
        </w:rPr>
        <w:t xml:space="preserve"> 2002, Avery 1980)</w:t>
      </w:r>
    </w:p>
    <w:p w14:paraId="6AC06E96" w14:textId="77777777" w:rsidR="0034657F" w:rsidRDefault="0034657F" w:rsidP="0034657F">
      <w:pPr>
        <w:rPr>
          <w:lang w:eastAsia="en-GB"/>
        </w:rPr>
      </w:pPr>
    </w:p>
    <w:p w14:paraId="09D40C0E" w14:textId="4F2EB670" w:rsidR="00790224" w:rsidRDefault="00790224" w:rsidP="00790224">
      <w:pPr>
        <w:pStyle w:val="Heading3"/>
        <w:rPr>
          <w:lang w:eastAsia="en-GB"/>
        </w:rPr>
      </w:pPr>
      <w:bookmarkStart w:id="32" w:name="_Toc213154147"/>
      <w:r>
        <w:rPr>
          <w:lang w:eastAsia="en-GB"/>
        </w:rPr>
        <w:t>References</w:t>
      </w:r>
      <w:bookmarkEnd w:id="32"/>
    </w:p>
    <w:p w14:paraId="3CFC2C99" w14:textId="77777777" w:rsidR="00790224" w:rsidRPr="00EB1643" w:rsidRDefault="00790224" w:rsidP="003E4926">
      <w:r w:rsidRPr="00EB1643">
        <w:t xml:space="preserve">Avery, B. W. (1980). </w:t>
      </w:r>
      <w:r w:rsidRPr="00EB1643">
        <w:rPr>
          <w:i/>
        </w:rPr>
        <w:t>Soil Survey Laboratory Methods</w:t>
      </w:r>
      <w:r w:rsidRPr="00EB1643">
        <w:t xml:space="preserve"> (Technical Monograph No. 6, Issue. </w:t>
      </w:r>
    </w:p>
    <w:p w14:paraId="5B829E35" w14:textId="6632FEA0" w:rsidR="00790224" w:rsidRPr="0034657F" w:rsidRDefault="003E4926" w:rsidP="0034657F">
      <w:r w:rsidRPr="00EB1643">
        <w:t xml:space="preserve">Gee, G. W., &amp; Or, D. (2002). Particle size analysis. In J. Dane &amp; G. C. Topp (Eds.), </w:t>
      </w:r>
      <w:r w:rsidRPr="00EB1643">
        <w:rPr>
          <w:i/>
        </w:rPr>
        <w:t>Methods of Soil Analysis Part 4 Physical Methods</w:t>
      </w:r>
      <w:r w:rsidRPr="00EB1643">
        <w:t xml:space="preserve">. Soil Science Society of America. </w:t>
      </w:r>
    </w:p>
    <w:sectPr w:rsidR="00790224" w:rsidRPr="0034657F">
      <w:footerReference w:type="default" r:id="rId12"/>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CB5EE3" w14:textId="77777777" w:rsidR="00ED3EB5" w:rsidRDefault="00ED3EB5" w:rsidP="003B1B3B">
      <w:pPr>
        <w:spacing w:after="0" w:line="240" w:lineRule="auto"/>
      </w:pPr>
      <w:r>
        <w:separator/>
      </w:r>
    </w:p>
  </w:endnote>
  <w:endnote w:type="continuationSeparator" w:id="0">
    <w:p w14:paraId="5D8808A1" w14:textId="77777777" w:rsidR="00ED3EB5" w:rsidRDefault="00ED3EB5" w:rsidP="003B1B3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Narrow">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37038686"/>
      <w:docPartObj>
        <w:docPartGallery w:val="Page Numbers (Bottom of Page)"/>
        <w:docPartUnique/>
      </w:docPartObj>
    </w:sdtPr>
    <w:sdtEndPr/>
    <w:sdtContent>
      <w:p w14:paraId="26D9E526" w14:textId="7A275695" w:rsidR="003B1B3B" w:rsidRDefault="003B1B3B">
        <w:pPr>
          <w:pStyle w:val="Footer"/>
          <w:jc w:val="right"/>
        </w:pPr>
        <w:r>
          <w:fldChar w:fldCharType="begin"/>
        </w:r>
        <w:r>
          <w:instrText>PAGE   \* MERGEFORMAT</w:instrText>
        </w:r>
        <w:r>
          <w:fldChar w:fldCharType="separate"/>
        </w:r>
        <w:r>
          <w:t>2</w:t>
        </w:r>
        <w:r>
          <w:fldChar w:fldCharType="end"/>
        </w:r>
      </w:p>
    </w:sdtContent>
  </w:sdt>
  <w:p w14:paraId="241A1EB7" w14:textId="77777777" w:rsidR="003B1B3B" w:rsidRDefault="003B1B3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8D8B87" w14:textId="77777777" w:rsidR="00ED3EB5" w:rsidRDefault="00ED3EB5" w:rsidP="003B1B3B">
      <w:pPr>
        <w:spacing w:after="0" w:line="240" w:lineRule="auto"/>
      </w:pPr>
      <w:r>
        <w:separator/>
      </w:r>
    </w:p>
  </w:footnote>
  <w:footnote w:type="continuationSeparator" w:id="0">
    <w:p w14:paraId="2E758E0A" w14:textId="77777777" w:rsidR="00ED3EB5" w:rsidRDefault="00ED3EB5" w:rsidP="003B1B3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C977991"/>
    <w:multiLevelType w:val="hybridMultilevel"/>
    <w:tmpl w:val="F3800EB8"/>
    <w:lvl w:ilvl="0" w:tplc="2392FD74">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4CAC24BE"/>
    <w:multiLevelType w:val="hybridMultilevel"/>
    <w:tmpl w:val="7C0C39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51045273"/>
    <w:multiLevelType w:val="hybridMultilevel"/>
    <w:tmpl w:val="34DEB5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7D2E2F5E"/>
    <w:multiLevelType w:val="hybridMultilevel"/>
    <w:tmpl w:val="AD2E6A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560335989">
    <w:abstractNumId w:val="0"/>
  </w:num>
  <w:num w:numId="2" w16cid:durableId="797770363">
    <w:abstractNumId w:val="2"/>
  </w:num>
  <w:num w:numId="3" w16cid:durableId="1371219794">
    <w:abstractNumId w:val="3"/>
  </w:num>
  <w:num w:numId="4" w16cid:durableId="65622323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F3144"/>
    <w:rsid w:val="000775E4"/>
    <w:rsid w:val="00084C85"/>
    <w:rsid w:val="000B55AC"/>
    <w:rsid w:val="000D31C5"/>
    <w:rsid w:val="000E2A46"/>
    <w:rsid w:val="000F03A6"/>
    <w:rsid w:val="00103AF4"/>
    <w:rsid w:val="00105AC7"/>
    <w:rsid w:val="00111F4B"/>
    <w:rsid w:val="00123824"/>
    <w:rsid w:val="00137879"/>
    <w:rsid w:val="001526CB"/>
    <w:rsid w:val="00194E86"/>
    <w:rsid w:val="00195E18"/>
    <w:rsid w:val="001970BE"/>
    <w:rsid w:val="001B2021"/>
    <w:rsid w:val="001E5524"/>
    <w:rsid w:val="001E6370"/>
    <w:rsid w:val="00203A6C"/>
    <w:rsid w:val="00235004"/>
    <w:rsid w:val="00243521"/>
    <w:rsid w:val="00290DD3"/>
    <w:rsid w:val="002A34A1"/>
    <w:rsid w:val="002A6B1A"/>
    <w:rsid w:val="002B345D"/>
    <w:rsid w:val="002C4291"/>
    <w:rsid w:val="002F5E38"/>
    <w:rsid w:val="00310CA4"/>
    <w:rsid w:val="00321157"/>
    <w:rsid w:val="00325F84"/>
    <w:rsid w:val="00337F8C"/>
    <w:rsid w:val="00341B7D"/>
    <w:rsid w:val="0034657F"/>
    <w:rsid w:val="00355649"/>
    <w:rsid w:val="00374E9D"/>
    <w:rsid w:val="00395EE2"/>
    <w:rsid w:val="003B1B3B"/>
    <w:rsid w:val="003B2BF0"/>
    <w:rsid w:val="003B2D55"/>
    <w:rsid w:val="003B3B8B"/>
    <w:rsid w:val="003C5BA3"/>
    <w:rsid w:val="003D1CE7"/>
    <w:rsid w:val="003E472E"/>
    <w:rsid w:val="003E4926"/>
    <w:rsid w:val="003E6A16"/>
    <w:rsid w:val="003E6D1E"/>
    <w:rsid w:val="003F3144"/>
    <w:rsid w:val="00406030"/>
    <w:rsid w:val="00424A56"/>
    <w:rsid w:val="0043045C"/>
    <w:rsid w:val="00435C02"/>
    <w:rsid w:val="00442252"/>
    <w:rsid w:val="004470E8"/>
    <w:rsid w:val="00466419"/>
    <w:rsid w:val="004819A1"/>
    <w:rsid w:val="004A3A95"/>
    <w:rsid w:val="004B3782"/>
    <w:rsid w:val="004B5574"/>
    <w:rsid w:val="004B5AF9"/>
    <w:rsid w:val="004C6F8D"/>
    <w:rsid w:val="00517543"/>
    <w:rsid w:val="005235C0"/>
    <w:rsid w:val="0052388A"/>
    <w:rsid w:val="00532D60"/>
    <w:rsid w:val="005377F3"/>
    <w:rsid w:val="00544A30"/>
    <w:rsid w:val="00550718"/>
    <w:rsid w:val="00561117"/>
    <w:rsid w:val="00574028"/>
    <w:rsid w:val="00582673"/>
    <w:rsid w:val="005A0490"/>
    <w:rsid w:val="005A5A2C"/>
    <w:rsid w:val="005C7832"/>
    <w:rsid w:val="005D1475"/>
    <w:rsid w:val="005E0DA7"/>
    <w:rsid w:val="005E103D"/>
    <w:rsid w:val="005E4349"/>
    <w:rsid w:val="005F2208"/>
    <w:rsid w:val="005F6424"/>
    <w:rsid w:val="00603BC1"/>
    <w:rsid w:val="0061649F"/>
    <w:rsid w:val="006277FF"/>
    <w:rsid w:val="00667771"/>
    <w:rsid w:val="00667E2D"/>
    <w:rsid w:val="00681FA9"/>
    <w:rsid w:val="00697281"/>
    <w:rsid w:val="006A4019"/>
    <w:rsid w:val="006B02CA"/>
    <w:rsid w:val="006B7578"/>
    <w:rsid w:val="006F2238"/>
    <w:rsid w:val="00710890"/>
    <w:rsid w:val="00742FB7"/>
    <w:rsid w:val="007508D4"/>
    <w:rsid w:val="00775D89"/>
    <w:rsid w:val="00786C09"/>
    <w:rsid w:val="00790224"/>
    <w:rsid w:val="007A29CB"/>
    <w:rsid w:val="007E2AA5"/>
    <w:rsid w:val="007F1EA4"/>
    <w:rsid w:val="007F476E"/>
    <w:rsid w:val="00817594"/>
    <w:rsid w:val="00826759"/>
    <w:rsid w:val="00827502"/>
    <w:rsid w:val="00827BE9"/>
    <w:rsid w:val="008573AF"/>
    <w:rsid w:val="00874384"/>
    <w:rsid w:val="008749AD"/>
    <w:rsid w:val="0088444D"/>
    <w:rsid w:val="00893409"/>
    <w:rsid w:val="008A0B53"/>
    <w:rsid w:val="008A7351"/>
    <w:rsid w:val="008D5EDD"/>
    <w:rsid w:val="00932A65"/>
    <w:rsid w:val="00933922"/>
    <w:rsid w:val="00984F69"/>
    <w:rsid w:val="00996011"/>
    <w:rsid w:val="009D7A3B"/>
    <w:rsid w:val="009F1E52"/>
    <w:rsid w:val="00A0015D"/>
    <w:rsid w:val="00A0326A"/>
    <w:rsid w:val="00A52C85"/>
    <w:rsid w:val="00A55D3E"/>
    <w:rsid w:val="00A700ED"/>
    <w:rsid w:val="00A92772"/>
    <w:rsid w:val="00AA5DDE"/>
    <w:rsid w:val="00AC2B12"/>
    <w:rsid w:val="00AD6D19"/>
    <w:rsid w:val="00AF56F9"/>
    <w:rsid w:val="00B04192"/>
    <w:rsid w:val="00B11ABC"/>
    <w:rsid w:val="00B11C2C"/>
    <w:rsid w:val="00B24034"/>
    <w:rsid w:val="00B4451F"/>
    <w:rsid w:val="00B47026"/>
    <w:rsid w:val="00B6200C"/>
    <w:rsid w:val="00B62C05"/>
    <w:rsid w:val="00B706E1"/>
    <w:rsid w:val="00B7511B"/>
    <w:rsid w:val="00B779EF"/>
    <w:rsid w:val="00B83394"/>
    <w:rsid w:val="00BC63AB"/>
    <w:rsid w:val="00BD3029"/>
    <w:rsid w:val="00BE0BCA"/>
    <w:rsid w:val="00BF2CA5"/>
    <w:rsid w:val="00BF4089"/>
    <w:rsid w:val="00C34C2A"/>
    <w:rsid w:val="00C5489A"/>
    <w:rsid w:val="00C95A72"/>
    <w:rsid w:val="00CE295B"/>
    <w:rsid w:val="00CF0723"/>
    <w:rsid w:val="00CF0835"/>
    <w:rsid w:val="00D728CC"/>
    <w:rsid w:val="00DA1BE0"/>
    <w:rsid w:val="00DA3243"/>
    <w:rsid w:val="00DB7293"/>
    <w:rsid w:val="00DD040B"/>
    <w:rsid w:val="00DD262E"/>
    <w:rsid w:val="00DD4A80"/>
    <w:rsid w:val="00DD5C4A"/>
    <w:rsid w:val="00DE7C48"/>
    <w:rsid w:val="00E06D68"/>
    <w:rsid w:val="00E107A2"/>
    <w:rsid w:val="00E30FA0"/>
    <w:rsid w:val="00E33CC5"/>
    <w:rsid w:val="00E33EB2"/>
    <w:rsid w:val="00E40116"/>
    <w:rsid w:val="00E46942"/>
    <w:rsid w:val="00E5529C"/>
    <w:rsid w:val="00E611A4"/>
    <w:rsid w:val="00E6221A"/>
    <w:rsid w:val="00E83A8C"/>
    <w:rsid w:val="00ED3EB5"/>
    <w:rsid w:val="00ED4CC6"/>
    <w:rsid w:val="00ED4F36"/>
    <w:rsid w:val="00ED5172"/>
    <w:rsid w:val="00EF1EB4"/>
    <w:rsid w:val="00EF5E82"/>
    <w:rsid w:val="00F06F1B"/>
    <w:rsid w:val="00F2339D"/>
    <w:rsid w:val="00F344CC"/>
    <w:rsid w:val="00F4156F"/>
    <w:rsid w:val="00F43518"/>
    <w:rsid w:val="00F77C41"/>
    <w:rsid w:val="00FA6623"/>
    <w:rsid w:val="00FA6CDD"/>
    <w:rsid w:val="00FC05C3"/>
    <w:rsid w:val="00FC1EFB"/>
    <w:rsid w:val="00FC52EF"/>
    <w:rsid w:val="00FD5058"/>
    <w:rsid w:val="00FD52C6"/>
    <w:rsid w:val="00FD7D5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0A30B11"/>
  <w15:chartTrackingRefBased/>
  <w15:docId w15:val="{60929A71-7CC7-44A2-BAE4-A7B3AD8FC4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3F3144"/>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3F3144"/>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rsid w:val="003F3144"/>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3F3144"/>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3F3144"/>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3F3144"/>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3F3144"/>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3F3144"/>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3F3144"/>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F3144"/>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3F3144"/>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sid w:val="003F3144"/>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3F3144"/>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3F3144"/>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3F3144"/>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3F3144"/>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3F3144"/>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3F3144"/>
    <w:rPr>
      <w:rFonts w:eastAsiaTheme="majorEastAsia" w:cstheme="majorBidi"/>
      <w:color w:val="272727" w:themeColor="text1" w:themeTint="D8"/>
    </w:rPr>
  </w:style>
  <w:style w:type="paragraph" w:styleId="Title">
    <w:name w:val="Title"/>
    <w:basedOn w:val="Normal"/>
    <w:next w:val="Normal"/>
    <w:link w:val="TitleChar"/>
    <w:uiPriority w:val="10"/>
    <w:qFormat/>
    <w:rsid w:val="003F314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3F3144"/>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3F3144"/>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3F3144"/>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3F3144"/>
    <w:pPr>
      <w:spacing w:before="160"/>
      <w:jc w:val="center"/>
    </w:pPr>
    <w:rPr>
      <w:i/>
      <w:iCs/>
      <w:color w:val="404040" w:themeColor="text1" w:themeTint="BF"/>
    </w:rPr>
  </w:style>
  <w:style w:type="character" w:customStyle="1" w:styleId="QuoteChar">
    <w:name w:val="Quote Char"/>
    <w:basedOn w:val="DefaultParagraphFont"/>
    <w:link w:val="Quote"/>
    <w:uiPriority w:val="29"/>
    <w:rsid w:val="003F3144"/>
    <w:rPr>
      <w:i/>
      <w:iCs/>
      <w:color w:val="404040" w:themeColor="text1" w:themeTint="BF"/>
    </w:rPr>
  </w:style>
  <w:style w:type="paragraph" w:styleId="ListParagraph">
    <w:name w:val="List Paragraph"/>
    <w:basedOn w:val="Normal"/>
    <w:uiPriority w:val="34"/>
    <w:qFormat/>
    <w:rsid w:val="003F3144"/>
    <w:pPr>
      <w:ind w:left="720"/>
      <w:contextualSpacing/>
    </w:pPr>
  </w:style>
  <w:style w:type="character" w:styleId="IntenseEmphasis">
    <w:name w:val="Intense Emphasis"/>
    <w:basedOn w:val="DefaultParagraphFont"/>
    <w:uiPriority w:val="21"/>
    <w:qFormat/>
    <w:rsid w:val="003F3144"/>
    <w:rPr>
      <w:i/>
      <w:iCs/>
      <w:color w:val="0F4761" w:themeColor="accent1" w:themeShade="BF"/>
    </w:rPr>
  </w:style>
  <w:style w:type="paragraph" w:styleId="IntenseQuote">
    <w:name w:val="Intense Quote"/>
    <w:basedOn w:val="Normal"/>
    <w:next w:val="Normal"/>
    <w:link w:val="IntenseQuoteChar"/>
    <w:uiPriority w:val="30"/>
    <w:qFormat/>
    <w:rsid w:val="003F3144"/>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3F3144"/>
    <w:rPr>
      <w:i/>
      <w:iCs/>
      <w:color w:val="0F4761" w:themeColor="accent1" w:themeShade="BF"/>
    </w:rPr>
  </w:style>
  <w:style w:type="character" w:styleId="IntenseReference">
    <w:name w:val="Intense Reference"/>
    <w:basedOn w:val="DefaultParagraphFont"/>
    <w:uiPriority w:val="32"/>
    <w:qFormat/>
    <w:rsid w:val="003F3144"/>
    <w:rPr>
      <w:b/>
      <w:bCs/>
      <w:smallCaps/>
      <w:color w:val="0F4761" w:themeColor="accent1" w:themeShade="BF"/>
      <w:spacing w:val="5"/>
    </w:rPr>
  </w:style>
  <w:style w:type="character" w:styleId="CommentReference">
    <w:name w:val="annotation reference"/>
    <w:basedOn w:val="DefaultParagraphFont"/>
    <w:uiPriority w:val="99"/>
    <w:semiHidden/>
    <w:unhideWhenUsed/>
    <w:rsid w:val="003F3144"/>
    <w:rPr>
      <w:sz w:val="16"/>
      <w:szCs w:val="16"/>
    </w:rPr>
  </w:style>
  <w:style w:type="paragraph" w:styleId="CommentText">
    <w:name w:val="annotation text"/>
    <w:basedOn w:val="Normal"/>
    <w:link w:val="CommentTextChar"/>
    <w:uiPriority w:val="99"/>
    <w:unhideWhenUsed/>
    <w:rsid w:val="003F3144"/>
    <w:pPr>
      <w:spacing w:before="240" w:after="120" w:line="276" w:lineRule="auto"/>
    </w:pPr>
    <w:rPr>
      <w:rFonts w:ascii="Arial" w:eastAsia="Arial" w:hAnsi="Arial" w:cs="Times New Roman"/>
      <w:kern w:val="0"/>
      <w:sz w:val="20"/>
      <w:szCs w:val="20"/>
    </w:rPr>
  </w:style>
  <w:style w:type="character" w:customStyle="1" w:styleId="CommentTextChar">
    <w:name w:val="Comment Text Char"/>
    <w:basedOn w:val="DefaultParagraphFont"/>
    <w:link w:val="CommentText"/>
    <w:uiPriority w:val="99"/>
    <w:rsid w:val="003F3144"/>
    <w:rPr>
      <w:rFonts w:ascii="Arial" w:eastAsia="Arial" w:hAnsi="Arial" w:cs="Times New Roman"/>
      <w:kern w:val="0"/>
      <w:sz w:val="20"/>
      <w:szCs w:val="20"/>
    </w:rPr>
  </w:style>
  <w:style w:type="character" w:customStyle="1" w:styleId="normaltextrun">
    <w:name w:val="normaltextrun"/>
    <w:basedOn w:val="DefaultParagraphFont"/>
    <w:rsid w:val="003F3144"/>
  </w:style>
  <w:style w:type="paragraph" w:styleId="NoSpacing">
    <w:name w:val="No Spacing"/>
    <w:uiPriority w:val="1"/>
    <w:qFormat/>
    <w:rsid w:val="00874384"/>
    <w:pPr>
      <w:spacing w:after="0" w:line="240" w:lineRule="auto"/>
    </w:pPr>
  </w:style>
  <w:style w:type="paragraph" w:styleId="Caption">
    <w:name w:val="caption"/>
    <w:basedOn w:val="Normal"/>
    <w:next w:val="Normal"/>
    <w:uiPriority w:val="35"/>
    <w:qFormat/>
    <w:rsid w:val="00F2339D"/>
    <w:pPr>
      <w:spacing w:before="360" w:after="0" w:line="276" w:lineRule="auto"/>
    </w:pPr>
    <w:rPr>
      <w:rFonts w:ascii="Arial" w:eastAsia="Arial" w:hAnsi="Arial" w:cs="Times New Roman"/>
      <w:b/>
      <w:iCs/>
      <w:kern w:val="0"/>
      <w:szCs w:val="18"/>
      <w14:ligatures w14:val="none"/>
    </w:rPr>
  </w:style>
  <w:style w:type="table" w:styleId="PlainTable2">
    <w:name w:val="Plain Table 2"/>
    <w:basedOn w:val="TableNormal"/>
    <w:uiPriority w:val="99"/>
    <w:rsid w:val="00F2339D"/>
    <w:pPr>
      <w:spacing w:after="0" w:line="240" w:lineRule="auto"/>
    </w:pPr>
    <w:rPr>
      <w:rFonts w:ascii="Arial" w:eastAsia="Arial" w:hAnsi="Arial" w:cs="Times New Roman"/>
      <w:kern w:val="0"/>
      <w:sz w:val="20"/>
      <w:szCs w:val="20"/>
      <w:lang w:eastAsia="en-GB"/>
      <w14:ligatures w14:val="non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styleId="Hyperlink">
    <w:name w:val="Hyperlink"/>
    <w:basedOn w:val="DefaultParagraphFont"/>
    <w:uiPriority w:val="99"/>
    <w:rsid w:val="00B24034"/>
    <w:rPr>
      <w:color w:val="1D70B8"/>
      <w:u w:val="single"/>
    </w:rPr>
  </w:style>
  <w:style w:type="paragraph" w:styleId="TOCHeading">
    <w:name w:val="TOC Heading"/>
    <w:basedOn w:val="Heading1"/>
    <w:next w:val="Normal"/>
    <w:uiPriority w:val="39"/>
    <w:unhideWhenUsed/>
    <w:qFormat/>
    <w:rsid w:val="00466419"/>
    <w:pPr>
      <w:spacing w:before="240" w:after="0"/>
      <w:outlineLvl w:val="9"/>
    </w:pPr>
    <w:rPr>
      <w:kern w:val="0"/>
      <w:sz w:val="32"/>
      <w:szCs w:val="32"/>
      <w:lang w:eastAsia="en-GB"/>
      <w14:ligatures w14:val="none"/>
    </w:rPr>
  </w:style>
  <w:style w:type="paragraph" w:styleId="TOC2">
    <w:name w:val="toc 2"/>
    <w:basedOn w:val="Normal"/>
    <w:next w:val="Normal"/>
    <w:autoRedefine/>
    <w:uiPriority w:val="39"/>
    <w:unhideWhenUsed/>
    <w:rsid w:val="00466419"/>
    <w:pPr>
      <w:spacing w:after="100"/>
      <w:ind w:left="220"/>
    </w:pPr>
  </w:style>
  <w:style w:type="paragraph" w:styleId="TOC3">
    <w:name w:val="toc 3"/>
    <w:basedOn w:val="Normal"/>
    <w:next w:val="Normal"/>
    <w:autoRedefine/>
    <w:uiPriority w:val="39"/>
    <w:unhideWhenUsed/>
    <w:rsid w:val="00466419"/>
    <w:pPr>
      <w:spacing w:after="100"/>
      <w:ind w:left="440"/>
    </w:pPr>
  </w:style>
  <w:style w:type="paragraph" w:styleId="Header">
    <w:name w:val="header"/>
    <w:basedOn w:val="Normal"/>
    <w:link w:val="HeaderChar"/>
    <w:uiPriority w:val="99"/>
    <w:unhideWhenUsed/>
    <w:rsid w:val="003B1B3B"/>
    <w:pPr>
      <w:tabs>
        <w:tab w:val="center" w:pos="4513"/>
        <w:tab w:val="right" w:pos="9026"/>
      </w:tabs>
      <w:spacing w:after="0" w:line="240" w:lineRule="auto"/>
    </w:pPr>
  </w:style>
  <w:style w:type="character" w:customStyle="1" w:styleId="HeaderChar">
    <w:name w:val="Header Char"/>
    <w:basedOn w:val="DefaultParagraphFont"/>
    <w:link w:val="Header"/>
    <w:uiPriority w:val="99"/>
    <w:rsid w:val="003B1B3B"/>
  </w:style>
  <w:style w:type="paragraph" w:styleId="Footer">
    <w:name w:val="footer"/>
    <w:basedOn w:val="Normal"/>
    <w:link w:val="FooterChar"/>
    <w:uiPriority w:val="99"/>
    <w:unhideWhenUsed/>
    <w:rsid w:val="003B1B3B"/>
    <w:pPr>
      <w:tabs>
        <w:tab w:val="center" w:pos="4513"/>
        <w:tab w:val="right" w:pos="9026"/>
      </w:tabs>
      <w:spacing w:after="0" w:line="240" w:lineRule="auto"/>
    </w:pPr>
  </w:style>
  <w:style w:type="character" w:customStyle="1" w:styleId="FooterChar">
    <w:name w:val="Footer Char"/>
    <w:basedOn w:val="DefaultParagraphFont"/>
    <w:link w:val="Footer"/>
    <w:uiPriority w:val="99"/>
    <w:rsid w:val="003B1B3B"/>
  </w:style>
  <w:style w:type="paragraph" w:customStyle="1" w:styleId="EndNoteBibliography">
    <w:name w:val="EndNote Bibliography"/>
    <w:basedOn w:val="Normal"/>
    <w:link w:val="EndNoteBibliographyChar"/>
    <w:rsid w:val="00790224"/>
    <w:pPr>
      <w:spacing w:before="240" w:after="120" w:line="240" w:lineRule="auto"/>
    </w:pPr>
    <w:rPr>
      <w:rFonts w:ascii="Arial" w:eastAsia="Arial" w:hAnsi="Arial" w:cs="Arial"/>
      <w:noProof/>
      <w:kern w:val="0"/>
      <w:sz w:val="24"/>
      <w:lang w:val="en-US"/>
      <w14:ligatures w14:val="none"/>
    </w:rPr>
  </w:style>
  <w:style w:type="character" w:customStyle="1" w:styleId="EndNoteBibliographyChar">
    <w:name w:val="EndNote Bibliography Char"/>
    <w:basedOn w:val="DefaultParagraphFont"/>
    <w:link w:val="EndNoteBibliography"/>
    <w:rsid w:val="00790224"/>
    <w:rPr>
      <w:rFonts w:ascii="Arial" w:eastAsia="Arial" w:hAnsi="Arial" w:cs="Arial"/>
      <w:noProof/>
      <w:kern w:val="0"/>
      <w:sz w:val="24"/>
      <w:lang w:val="en-U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2669310">
      <w:bodyDiv w:val="1"/>
      <w:marLeft w:val="0"/>
      <w:marRight w:val="0"/>
      <w:marTop w:val="0"/>
      <w:marBottom w:val="0"/>
      <w:divBdr>
        <w:top w:val="none" w:sz="0" w:space="0" w:color="auto"/>
        <w:left w:val="none" w:sz="0" w:space="0" w:color="auto"/>
        <w:bottom w:val="none" w:sz="0" w:space="0" w:color="auto"/>
        <w:right w:val="none" w:sz="0" w:space="0" w:color="auto"/>
      </w:divBdr>
    </w:div>
    <w:div w:id="527716049">
      <w:bodyDiv w:val="1"/>
      <w:marLeft w:val="0"/>
      <w:marRight w:val="0"/>
      <w:marTop w:val="0"/>
      <w:marBottom w:val="0"/>
      <w:divBdr>
        <w:top w:val="none" w:sz="0" w:space="0" w:color="auto"/>
        <w:left w:val="none" w:sz="0" w:space="0" w:color="auto"/>
        <w:bottom w:val="none" w:sz="0" w:space="0" w:color="auto"/>
        <w:right w:val="none" w:sz="0" w:space="0" w:color="auto"/>
      </w:divBdr>
    </w:div>
    <w:div w:id="644310234">
      <w:bodyDiv w:val="1"/>
      <w:marLeft w:val="0"/>
      <w:marRight w:val="0"/>
      <w:marTop w:val="0"/>
      <w:marBottom w:val="0"/>
      <w:divBdr>
        <w:top w:val="none" w:sz="0" w:space="0" w:color="auto"/>
        <w:left w:val="none" w:sz="0" w:space="0" w:color="auto"/>
        <w:bottom w:val="none" w:sz="0" w:space="0" w:color="auto"/>
        <w:right w:val="none" w:sz="0" w:space="0" w:color="auto"/>
      </w:divBdr>
    </w:div>
    <w:div w:id="678586652">
      <w:bodyDiv w:val="1"/>
      <w:marLeft w:val="0"/>
      <w:marRight w:val="0"/>
      <w:marTop w:val="0"/>
      <w:marBottom w:val="0"/>
      <w:divBdr>
        <w:top w:val="none" w:sz="0" w:space="0" w:color="auto"/>
        <w:left w:val="none" w:sz="0" w:space="0" w:color="auto"/>
        <w:bottom w:val="none" w:sz="0" w:space="0" w:color="auto"/>
        <w:right w:val="none" w:sz="0" w:space="0" w:color="auto"/>
      </w:divBdr>
    </w:div>
    <w:div w:id="783187303">
      <w:bodyDiv w:val="1"/>
      <w:marLeft w:val="0"/>
      <w:marRight w:val="0"/>
      <w:marTop w:val="0"/>
      <w:marBottom w:val="0"/>
      <w:divBdr>
        <w:top w:val="none" w:sz="0" w:space="0" w:color="auto"/>
        <w:left w:val="none" w:sz="0" w:space="0" w:color="auto"/>
        <w:bottom w:val="none" w:sz="0" w:space="0" w:color="auto"/>
        <w:right w:val="none" w:sz="0" w:space="0" w:color="auto"/>
      </w:divBdr>
    </w:div>
    <w:div w:id="817914490">
      <w:bodyDiv w:val="1"/>
      <w:marLeft w:val="0"/>
      <w:marRight w:val="0"/>
      <w:marTop w:val="0"/>
      <w:marBottom w:val="0"/>
      <w:divBdr>
        <w:top w:val="none" w:sz="0" w:space="0" w:color="auto"/>
        <w:left w:val="none" w:sz="0" w:space="0" w:color="auto"/>
        <w:bottom w:val="none" w:sz="0" w:space="0" w:color="auto"/>
        <w:right w:val="none" w:sz="0" w:space="0" w:color="auto"/>
      </w:divBdr>
    </w:div>
    <w:div w:id="866985061">
      <w:bodyDiv w:val="1"/>
      <w:marLeft w:val="0"/>
      <w:marRight w:val="0"/>
      <w:marTop w:val="0"/>
      <w:marBottom w:val="0"/>
      <w:divBdr>
        <w:top w:val="none" w:sz="0" w:space="0" w:color="auto"/>
        <w:left w:val="none" w:sz="0" w:space="0" w:color="auto"/>
        <w:bottom w:val="none" w:sz="0" w:space="0" w:color="auto"/>
        <w:right w:val="none" w:sz="0" w:space="0" w:color="auto"/>
      </w:divBdr>
    </w:div>
    <w:div w:id="1034379055">
      <w:bodyDiv w:val="1"/>
      <w:marLeft w:val="0"/>
      <w:marRight w:val="0"/>
      <w:marTop w:val="0"/>
      <w:marBottom w:val="0"/>
      <w:divBdr>
        <w:top w:val="none" w:sz="0" w:space="0" w:color="auto"/>
        <w:left w:val="none" w:sz="0" w:space="0" w:color="auto"/>
        <w:bottom w:val="none" w:sz="0" w:space="0" w:color="auto"/>
        <w:right w:val="none" w:sz="0" w:space="0" w:color="auto"/>
      </w:divBdr>
    </w:div>
    <w:div w:id="1094208723">
      <w:bodyDiv w:val="1"/>
      <w:marLeft w:val="0"/>
      <w:marRight w:val="0"/>
      <w:marTop w:val="0"/>
      <w:marBottom w:val="0"/>
      <w:divBdr>
        <w:top w:val="none" w:sz="0" w:space="0" w:color="auto"/>
        <w:left w:val="none" w:sz="0" w:space="0" w:color="auto"/>
        <w:bottom w:val="none" w:sz="0" w:space="0" w:color="auto"/>
        <w:right w:val="none" w:sz="0" w:space="0" w:color="auto"/>
      </w:divBdr>
    </w:div>
    <w:div w:id="1396464180">
      <w:bodyDiv w:val="1"/>
      <w:marLeft w:val="0"/>
      <w:marRight w:val="0"/>
      <w:marTop w:val="0"/>
      <w:marBottom w:val="0"/>
      <w:divBdr>
        <w:top w:val="none" w:sz="0" w:space="0" w:color="auto"/>
        <w:left w:val="none" w:sz="0" w:space="0" w:color="auto"/>
        <w:bottom w:val="none" w:sz="0" w:space="0" w:color="auto"/>
        <w:right w:val="none" w:sz="0" w:space="0" w:color="auto"/>
      </w:divBdr>
    </w:div>
    <w:div w:id="1412122300">
      <w:bodyDiv w:val="1"/>
      <w:marLeft w:val="0"/>
      <w:marRight w:val="0"/>
      <w:marTop w:val="0"/>
      <w:marBottom w:val="0"/>
      <w:divBdr>
        <w:top w:val="none" w:sz="0" w:space="0" w:color="auto"/>
        <w:left w:val="none" w:sz="0" w:space="0" w:color="auto"/>
        <w:bottom w:val="none" w:sz="0" w:space="0" w:color="auto"/>
        <w:right w:val="none" w:sz="0" w:space="0" w:color="auto"/>
      </w:divBdr>
    </w:div>
    <w:div w:id="1412389731">
      <w:bodyDiv w:val="1"/>
      <w:marLeft w:val="0"/>
      <w:marRight w:val="0"/>
      <w:marTop w:val="0"/>
      <w:marBottom w:val="0"/>
      <w:divBdr>
        <w:top w:val="none" w:sz="0" w:space="0" w:color="auto"/>
        <w:left w:val="none" w:sz="0" w:space="0" w:color="auto"/>
        <w:bottom w:val="none" w:sz="0" w:space="0" w:color="auto"/>
        <w:right w:val="none" w:sz="0" w:space="0" w:color="auto"/>
      </w:divBdr>
    </w:div>
    <w:div w:id="1706371763">
      <w:bodyDiv w:val="1"/>
      <w:marLeft w:val="0"/>
      <w:marRight w:val="0"/>
      <w:marTop w:val="0"/>
      <w:marBottom w:val="0"/>
      <w:divBdr>
        <w:top w:val="none" w:sz="0" w:space="0" w:color="auto"/>
        <w:left w:val="none" w:sz="0" w:space="0" w:color="auto"/>
        <w:bottom w:val="none" w:sz="0" w:space="0" w:color="auto"/>
        <w:right w:val="none" w:sz="0" w:space="0" w:color="auto"/>
      </w:divBdr>
    </w:div>
    <w:div w:id="1783454654">
      <w:bodyDiv w:val="1"/>
      <w:marLeft w:val="0"/>
      <w:marRight w:val="0"/>
      <w:marTop w:val="0"/>
      <w:marBottom w:val="0"/>
      <w:divBdr>
        <w:top w:val="none" w:sz="0" w:space="0" w:color="auto"/>
        <w:left w:val="none" w:sz="0" w:space="0" w:color="auto"/>
        <w:bottom w:val="none" w:sz="0" w:space="0" w:color="auto"/>
        <w:right w:val="none" w:sz="0" w:space="0" w:color="auto"/>
      </w:divBdr>
    </w:div>
    <w:div w:id="1812597007">
      <w:bodyDiv w:val="1"/>
      <w:marLeft w:val="0"/>
      <w:marRight w:val="0"/>
      <w:marTop w:val="0"/>
      <w:marBottom w:val="0"/>
      <w:divBdr>
        <w:top w:val="none" w:sz="0" w:space="0" w:color="auto"/>
        <w:left w:val="none" w:sz="0" w:space="0" w:color="auto"/>
        <w:bottom w:val="none" w:sz="0" w:space="0" w:color="auto"/>
        <w:right w:val="none" w:sz="0" w:space="0" w:color="auto"/>
      </w:divBdr>
    </w:div>
    <w:div w:id="1946107504">
      <w:bodyDiv w:val="1"/>
      <w:marLeft w:val="0"/>
      <w:marRight w:val="0"/>
      <w:marTop w:val="0"/>
      <w:marBottom w:val="0"/>
      <w:divBdr>
        <w:top w:val="none" w:sz="0" w:space="0" w:color="auto"/>
        <w:left w:val="none" w:sz="0" w:space="0" w:color="auto"/>
        <w:bottom w:val="none" w:sz="0" w:space="0" w:color="auto"/>
        <w:right w:val="none" w:sz="0" w:space="0" w:color="auto"/>
      </w:divBdr>
    </w:div>
    <w:div w:id="1949963592">
      <w:bodyDiv w:val="1"/>
      <w:marLeft w:val="0"/>
      <w:marRight w:val="0"/>
      <w:marTop w:val="0"/>
      <w:marBottom w:val="0"/>
      <w:divBdr>
        <w:top w:val="none" w:sz="0" w:space="0" w:color="auto"/>
        <w:left w:val="none" w:sz="0" w:space="0" w:color="auto"/>
        <w:bottom w:val="none" w:sz="0" w:space="0" w:color="auto"/>
        <w:right w:val="none" w:sz="0" w:space="0" w:color="auto"/>
      </w:divBdr>
    </w:div>
    <w:div w:id="19572520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0" Type="http://schemas.openxmlformats.org/officeDocument/2006/relationships/image" Target="media/image3.jpg"/><Relationship Id="rId4" Type="http://schemas.openxmlformats.org/officeDocument/2006/relationships/settings" Target="settings.xml"/><Relationship Id="rId9" Type="http://schemas.openxmlformats.org/officeDocument/2006/relationships/image" Target="media/image2.sv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E8115E8-B447-4306-8EB3-E730FCD08B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57</TotalTime>
  <Pages>10</Pages>
  <Words>3507</Words>
  <Characters>20726</Characters>
  <Application>Microsoft Office Word</Application>
  <DocSecurity>0</DocSecurity>
  <Lines>172</Lines>
  <Paragraphs>48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24185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Paula Maria de la Barra</dc:creator>
  <cp:keywords/>
  <dc:description/>
  <cp:lastModifiedBy>Katherine Wright</cp:lastModifiedBy>
  <cp:revision>84</cp:revision>
  <cp:lastPrinted>2025-10-31T17:29:00Z</cp:lastPrinted>
  <dcterms:created xsi:type="dcterms:W3CDTF">2025-11-04T12:00:00Z</dcterms:created>
  <dcterms:modified xsi:type="dcterms:W3CDTF">2026-01-19T09:35:00Z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c71873ee-5b70-49bf-a97f-92d463301e3e</vt:lpwstr>
  </property>
</Properties>
</file>